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C33143">
            <w:pPr>
              <w:suppressLineNumbers/>
              <w:spacing w:after="120" w:line="360" w:lineRule="auto"/>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C33143">
            <w:pPr>
              <w:suppressLineNumbers/>
              <w:spacing w:after="120" w:line="360" w:lineRule="auto"/>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20</w:t>
            </w:r>
          </w:p>
        </w:tc>
      </w:tr>
      <w:tr w:rsidR="0094424E">
        <w:trPr>
          <w:jc w:val="center"/>
        </w:trPr>
        <w:tc>
          <w:tcPr>
            <w:tcW w:w="743" w:type="dxa"/>
          </w:tcPr>
          <w:p w:rsidR="0094424E" w:rsidRDefault="00064651" w:rsidP="00C33143">
            <w:pPr>
              <w:suppressLineNumbers/>
              <w:spacing w:after="120" w:line="360" w:lineRule="auto"/>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Pr="00C33143" w:rsidRDefault="000529D2" w:rsidP="00C33143">
            <w:pPr>
              <w:suppressLineNumbers/>
              <w:spacing w:after="120" w:line="360" w:lineRule="auto"/>
              <w:rPr>
                <w:rFonts w:ascii="Arial" w:hAnsi="Arial"/>
                <w:b/>
                <w:bCs/>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sidR="00C33143">
              <w:rPr>
                <w:rFonts w:ascii="Arial" w:hAnsi="Arial"/>
                <w:b/>
                <w:bCs/>
                <w:rtl/>
              </w:rPr>
              <w:t>הילה אוחיון גליקסמ</w:t>
            </w:r>
            <w:r w:rsidR="00C33143">
              <w:rPr>
                <w:rFonts w:ascii="Arial" w:hAnsi="Arial" w:hint="cs"/>
                <w:b/>
                <w:bCs/>
                <w:rtl/>
              </w:rPr>
              <w:t>ן</w:t>
            </w:r>
          </w:p>
        </w:tc>
      </w:tr>
      <w:tr w:rsidR="0094424E" w:rsidTr="00465D36">
        <w:trPr>
          <w:jc w:val="center"/>
        </w:trPr>
        <w:tc>
          <w:tcPr>
            <w:tcW w:w="3249" w:type="dxa"/>
            <w:gridSpan w:val="2"/>
          </w:tcPr>
          <w:p w:rsidR="00E662A2" w:rsidRDefault="00C33143" w:rsidP="00C33143">
            <w:pPr>
              <w:suppressLineNumbers/>
              <w:spacing w:after="120" w:line="360" w:lineRule="auto"/>
              <w:rPr>
                <w:rFonts w:ascii="Arial" w:hAnsi="Arial"/>
                <w:b/>
                <w:bCs/>
                <w:noProof w:val="0"/>
                <w:sz w:val="26"/>
                <w:szCs w:val="26"/>
                <w:rtl/>
              </w:rPr>
            </w:pPr>
            <w:r>
              <w:rPr>
                <w:rFonts w:ascii="Arial" w:hAnsi="Arial" w:hint="cs"/>
                <w:b/>
                <w:bCs/>
                <w:noProof w:val="0"/>
                <w:sz w:val="26"/>
                <w:szCs w:val="26"/>
                <w:rtl/>
              </w:rPr>
              <w:t>מבקשת</w:t>
            </w:r>
          </w:p>
        </w:tc>
        <w:tc>
          <w:tcPr>
            <w:tcW w:w="5571" w:type="dxa"/>
            <w:gridSpan w:val="2"/>
          </w:tcPr>
          <w:p w:rsidR="00C33143" w:rsidRDefault="0003781E" w:rsidP="0003781E">
            <w:pPr>
              <w:suppressLineNumbers/>
              <w:spacing w:line="360" w:lineRule="auto"/>
              <w:rPr>
                <w:b/>
                <w:bCs/>
                <w:noProof w:val="0"/>
                <w:sz w:val="26"/>
                <w:szCs w:val="26"/>
                <w:rtl/>
              </w:rPr>
            </w:pPr>
            <w:r>
              <w:rPr>
                <w:rFonts w:ascii="Arial" w:hAnsi="Arial" w:hint="cs"/>
                <w:b/>
                <w:bCs/>
                <w:noProof w:val="0"/>
                <w:sz w:val="26"/>
                <w:szCs w:val="26"/>
                <w:rtl/>
              </w:rPr>
              <w:t>י.נ' ג.</w:t>
            </w:r>
            <w:r w:rsidR="00E54CD9" w:rsidRPr="00E54CD9">
              <w:rPr>
                <w:rFonts w:ascii="Arial" w:hAnsi="Arial" w:hint="cs"/>
                <w:b/>
                <w:bCs/>
                <w:noProof w:val="0"/>
                <w:sz w:val="26"/>
                <w:szCs w:val="26"/>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p w:rsidR="00C33143" w:rsidRDefault="00C33143" w:rsidP="00A13B55">
            <w:pPr>
              <w:suppressLineNumbers/>
              <w:spacing w:line="360" w:lineRule="auto"/>
              <w:rPr>
                <w:b/>
                <w:bCs/>
                <w:noProof w:val="0"/>
                <w:sz w:val="26"/>
                <w:szCs w:val="26"/>
              </w:rPr>
            </w:pPr>
            <w:r>
              <w:rPr>
                <w:rFonts w:hint="cs"/>
                <w:b/>
                <w:bCs/>
                <w:noProof w:val="0"/>
                <w:sz w:val="26"/>
                <w:szCs w:val="26"/>
                <w:rtl/>
              </w:rPr>
              <w:t>ע"י ב"כ עו"ד יוס</w:t>
            </w:r>
            <w:r w:rsidR="00A13B55">
              <w:rPr>
                <w:rFonts w:hint="cs"/>
                <w:b/>
                <w:bCs/>
                <w:noProof w:val="0"/>
                <w:sz w:val="26"/>
                <w:szCs w:val="26"/>
                <w:rtl/>
              </w:rPr>
              <w:t>ף נגר</w:t>
            </w:r>
          </w:p>
        </w:tc>
      </w:tr>
      <w:tr w:rsidR="0094424E">
        <w:trPr>
          <w:jc w:val="center"/>
        </w:trPr>
        <w:tc>
          <w:tcPr>
            <w:tcW w:w="8820" w:type="dxa"/>
            <w:gridSpan w:val="4"/>
          </w:tcPr>
          <w:p w:rsidR="0094424E" w:rsidRDefault="0094424E" w:rsidP="00C33143">
            <w:pPr>
              <w:suppressLineNumbers/>
              <w:spacing w:after="120" w:line="360" w:lineRule="auto"/>
              <w:jc w:val="center"/>
              <w:rPr>
                <w:rFonts w:ascii="Arial" w:hAnsi="Arial"/>
                <w:b/>
                <w:bCs/>
                <w:noProof w:val="0"/>
                <w:sz w:val="26"/>
                <w:szCs w:val="26"/>
              </w:rPr>
            </w:pPr>
            <w:r>
              <w:rPr>
                <w:rFonts w:ascii="Arial" w:hAnsi="Arial"/>
                <w:b/>
                <w:bCs/>
                <w:noProof w:val="0"/>
                <w:sz w:val="26"/>
                <w:szCs w:val="26"/>
                <w:rtl/>
              </w:rPr>
              <w:t>נגד</w:t>
            </w:r>
          </w:p>
        </w:tc>
      </w:tr>
      <w:tr w:rsidR="0094424E">
        <w:trPr>
          <w:jc w:val="center"/>
        </w:trPr>
        <w:tc>
          <w:tcPr>
            <w:tcW w:w="3249" w:type="dxa"/>
            <w:gridSpan w:val="2"/>
          </w:tcPr>
          <w:p w:rsidR="0094424E" w:rsidRDefault="00C33143" w:rsidP="00C33143">
            <w:pPr>
              <w:suppressLineNumbers/>
              <w:spacing w:after="120" w:line="360" w:lineRule="auto"/>
              <w:rPr>
                <w:rFonts w:ascii="Arial" w:hAnsi="Arial"/>
                <w:b/>
                <w:bCs/>
                <w:noProof w:val="0"/>
                <w:sz w:val="26"/>
                <w:szCs w:val="26"/>
              </w:rPr>
            </w:pPr>
            <w:r>
              <w:rPr>
                <w:rFonts w:ascii="Arial" w:hAnsi="Arial" w:hint="cs"/>
                <w:b/>
                <w:bCs/>
                <w:noProof w:val="0"/>
                <w:sz w:val="26"/>
                <w:szCs w:val="26"/>
                <w:rtl/>
              </w:rPr>
              <w:t>משיב</w:t>
            </w:r>
          </w:p>
        </w:tc>
        <w:tc>
          <w:tcPr>
            <w:tcW w:w="5571" w:type="dxa"/>
            <w:gridSpan w:val="2"/>
          </w:tcPr>
          <w:p w:rsidR="00CF6BB7" w:rsidRDefault="0003781E" w:rsidP="0003781E">
            <w:pPr>
              <w:suppressLineNumbers/>
              <w:spacing w:line="360" w:lineRule="auto"/>
              <w:rPr>
                <w:rFonts w:ascii="Arial" w:hAnsi="Arial"/>
                <w:b/>
                <w:bCs/>
                <w:noProof w:val="0"/>
                <w:sz w:val="26"/>
                <w:szCs w:val="26"/>
                <w:rtl/>
              </w:rPr>
            </w:pPr>
            <w:r>
              <w:rPr>
                <w:rFonts w:ascii="Arial" w:hAnsi="Arial" w:hint="cs"/>
                <w:b/>
                <w:bCs/>
                <w:noProof w:val="0"/>
                <w:sz w:val="26"/>
                <w:szCs w:val="26"/>
                <w:rtl/>
              </w:rPr>
              <w:t>י.נ' ג.</w:t>
            </w:r>
            <w:r w:rsidR="00E54CD9">
              <w:rPr>
                <w:rFonts w:hint="cs"/>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p w:rsidR="00A13B55" w:rsidRPr="00C33143" w:rsidRDefault="00A13B55" w:rsidP="00A13B55">
            <w:pPr>
              <w:suppressLineNumbers/>
              <w:spacing w:line="360" w:lineRule="auto"/>
              <w:rPr>
                <w:rFonts w:ascii="Arial" w:hAnsi="Arial"/>
                <w:b/>
                <w:bCs/>
                <w:noProof w:val="0"/>
                <w:sz w:val="26"/>
                <w:szCs w:val="26"/>
                <w:rtl/>
              </w:rPr>
            </w:pPr>
            <w:r>
              <w:rPr>
                <w:rFonts w:ascii="Arial" w:hAnsi="Arial" w:hint="cs"/>
                <w:b/>
                <w:bCs/>
                <w:noProof w:val="0"/>
                <w:sz w:val="26"/>
                <w:szCs w:val="26"/>
                <w:rtl/>
              </w:rPr>
              <w:t>ע"י ב"כ עו"ד נדב אבקסיס</w:t>
            </w:r>
          </w:p>
        </w:tc>
      </w:tr>
    </w:tbl>
    <w:p w:rsidR="0094424E" w:rsidRDefault="0094424E" w:rsidP="00C33143">
      <w:pPr>
        <w:suppressLineNumbers/>
        <w:spacing w:after="120" w:line="360" w:lineRule="auto"/>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C33143">
            <w:pPr>
              <w:bidi w:val="0"/>
              <w:spacing w:after="120" w:line="360" w:lineRule="auto"/>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C33143" w:rsidRDefault="00C33143" w:rsidP="0003781E">
      <w:pPr>
        <w:spacing w:after="120" w:line="480" w:lineRule="auto"/>
        <w:jc w:val="both"/>
        <w:rPr>
          <w:rFonts w:ascii="David" w:hAnsi="David"/>
          <w:b/>
          <w:bCs/>
          <w:noProof w:val="0"/>
        </w:rPr>
      </w:pPr>
      <w:bookmarkStart w:id="1" w:name="NGCSBookmark"/>
      <w:bookmarkEnd w:id="1"/>
      <w:r>
        <w:rPr>
          <w:rFonts w:ascii="David" w:hAnsi="David"/>
          <w:b/>
          <w:bCs/>
          <w:rtl/>
        </w:rPr>
        <w:t xml:space="preserve">בפניי בקשה לקיום דיון קדם משפט בדרך של היוועדות חזותית, בבקשה לצו קיום צוואת המנוחה, הגב' </w:t>
      </w:r>
      <w:r w:rsidR="0003781E">
        <w:rPr>
          <w:rFonts w:ascii="David" w:hAnsi="David" w:hint="cs"/>
          <w:b/>
          <w:bCs/>
          <w:rtl/>
        </w:rPr>
        <w:t>ס.צ.</w:t>
      </w:r>
      <w:r>
        <w:rPr>
          <w:rFonts w:ascii="David" w:hAnsi="David"/>
          <w:b/>
          <w:bCs/>
          <w:rtl/>
        </w:rPr>
        <w:t xml:space="preserve"> ז"ל (להלן: "המנוחה"), ובהתנגדות המבקשת לבקשה לקיום הצוואה.   </w:t>
      </w:r>
    </w:p>
    <w:p w:rsidR="00C33143" w:rsidRDefault="00C33143" w:rsidP="00D72E4F">
      <w:pPr>
        <w:spacing w:after="120" w:line="480" w:lineRule="auto"/>
        <w:jc w:val="both"/>
        <w:rPr>
          <w:rFonts w:ascii="David" w:hAnsi="David"/>
          <w:b/>
          <w:bCs/>
          <w:u w:val="single"/>
          <w:rtl/>
        </w:rPr>
      </w:pPr>
      <w:r>
        <w:rPr>
          <w:rFonts w:ascii="David" w:hAnsi="David"/>
          <w:b/>
          <w:bCs/>
          <w:u w:val="single"/>
          <w:rtl/>
        </w:rPr>
        <w:t>רקע והשתלשלות ההליכים</w:t>
      </w:r>
    </w:p>
    <w:p w:rsidR="00C33143" w:rsidRDefault="00C33143" w:rsidP="00D72E4F">
      <w:pPr>
        <w:pStyle w:val="ad"/>
        <w:numPr>
          <w:ilvl w:val="0"/>
          <w:numId w:val="1"/>
        </w:numPr>
        <w:spacing w:after="120" w:line="480" w:lineRule="auto"/>
        <w:jc w:val="both"/>
        <w:rPr>
          <w:rFonts w:ascii="David" w:hAnsi="David" w:cs="David"/>
          <w:sz w:val="24"/>
          <w:szCs w:val="24"/>
          <w:rtl/>
        </w:rPr>
      </w:pPr>
      <w:r>
        <w:rPr>
          <w:rFonts w:ascii="David" w:hAnsi="David" w:cs="David"/>
          <w:sz w:val="24"/>
          <w:szCs w:val="24"/>
          <w:rtl/>
        </w:rPr>
        <w:t>עניינם של ההליכים שבכותרת בבקשה למתן צו לקיום צוואת המנוחה, אימו של המשיב, שנערכה ביום 10.2.2023 כצוואה בפני רשות שאומתה ע"י נוטריון (להלן: "</w:t>
      </w:r>
      <w:r>
        <w:rPr>
          <w:rFonts w:ascii="David" w:hAnsi="David" w:cs="David"/>
          <w:b/>
          <w:bCs/>
          <w:sz w:val="24"/>
          <w:szCs w:val="24"/>
          <w:rtl/>
        </w:rPr>
        <w:t>הצוואה</w:t>
      </w:r>
      <w:r>
        <w:rPr>
          <w:rFonts w:ascii="David" w:hAnsi="David" w:cs="David"/>
          <w:sz w:val="24"/>
          <w:szCs w:val="24"/>
          <w:rtl/>
        </w:rPr>
        <w:t xml:space="preserve">") (ת"ע 31588-09-23), ובהתנגדות לבקשה לקיום הצוואה, שהגישה המבקשת, נכדתה </w:t>
      </w:r>
      <w:r w:rsidR="0083554C">
        <w:rPr>
          <w:rFonts w:ascii="David" w:hAnsi="David" w:cs="David" w:hint="cs"/>
          <w:sz w:val="24"/>
          <w:szCs w:val="24"/>
          <w:rtl/>
        </w:rPr>
        <w:t>(</w:t>
      </w:r>
      <w:r>
        <w:rPr>
          <w:rFonts w:ascii="David" w:hAnsi="David" w:cs="David"/>
          <w:sz w:val="24"/>
          <w:szCs w:val="24"/>
          <w:rtl/>
        </w:rPr>
        <w:t>בתו של בנה המנוח של המנוחה</w:t>
      </w:r>
      <w:r w:rsidR="0083554C">
        <w:rPr>
          <w:rFonts w:ascii="David" w:hAnsi="David" w:cs="David" w:hint="cs"/>
          <w:sz w:val="24"/>
          <w:szCs w:val="24"/>
          <w:rtl/>
        </w:rPr>
        <w:t>)</w:t>
      </w:r>
      <w:r>
        <w:rPr>
          <w:rFonts w:ascii="David" w:hAnsi="David" w:cs="David"/>
          <w:sz w:val="24"/>
          <w:szCs w:val="24"/>
          <w:rtl/>
        </w:rPr>
        <w:t xml:space="preserve"> (ת"ע 31610-09-23).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בתמצית</w:t>
      </w:r>
      <w:r w:rsidR="0083554C">
        <w:rPr>
          <w:rFonts w:ascii="David" w:hAnsi="David" w:cs="David"/>
          <w:sz w:val="24"/>
          <w:szCs w:val="24"/>
          <w:rtl/>
        </w:rPr>
        <w:t xml:space="preserve">, </w:t>
      </w:r>
      <w:r w:rsidR="0083554C">
        <w:rPr>
          <w:rFonts w:ascii="David" w:hAnsi="David" w:cs="David" w:hint="cs"/>
          <w:sz w:val="24"/>
          <w:szCs w:val="24"/>
          <w:rtl/>
        </w:rPr>
        <w:t xml:space="preserve">על פי הנטען בהתנגדות, </w:t>
      </w:r>
      <w:r>
        <w:rPr>
          <w:rFonts w:ascii="David" w:hAnsi="David" w:cs="David"/>
          <w:sz w:val="24"/>
          <w:szCs w:val="24"/>
          <w:rtl/>
        </w:rPr>
        <w:t>המנוחה לא הייתה כשירה לערוך צוואה, שכן היא נערכה בעת שלמנוחה מונתה "עמותת רעות אפוטרופסות" כאפוטרו</w:t>
      </w:r>
      <w:r w:rsidR="0083554C">
        <w:rPr>
          <w:rFonts w:ascii="David" w:hAnsi="David" w:cs="David"/>
          <w:sz w:val="24"/>
          <w:szCs w:val="24"/>
          <w:rtl/>
        </w:rPr>
        <w:t>פוס (א"פ 2447-01-21). עוד יצוין</w:t>
      </w:r>
      <w:r w:rsidR="0083554C">
        <w:rPr>
          <w:rFonts w:ascii="David" w:hAnsi="David" w:cs="David" w:hint="cs"/>
          <w:sz w:val="24"/>
          <w:szCs w:val="24"/>
          <w:rtl/>
        </w:rPr>
        <w:t xml:space="preserve">, </w:t>
      </w:r>
      <w:r>
        <w:rPr>
          <w:rFonts w:ascii="David" w:hAnsi="David" w:cs="David"/>
          <w:sz w:val="24"/>
          <w:szCs w:val="24"/>
          <w:rtl/>
        </w:rPr>
        <w:t>כי יש מחלוקת לעניין נטל ההוכחה, נוכח העובדה שקיים חוסר התאמה בין תאריך חתימת הצוואה לבין התאריך המוטבע באישור עשיית הצוואה, וכן בשל</w:t>
      </w:r>
      <w:r w:rsidR="0083554C">
        <w:rPr>
          <w:rFonts w:ascii="David" w:hAnsi="David" w:cs="David"/>
          <w:sz w:val="24"/>
          <w:szCs w:val="24"/>
          <w:rtl/>
        </w:rPr>
        <w:t xml:space="preserve"> כך שהאישור הרפואי שצורף לצוואה</w:t>
      </w:r>
      <w:r w:rsidR="0083554C">
        <w:rPr>
          <w:rFonts w:ascii="David" w:hAnsi="David" w:cs="David" w:hint="cs"/>
          <w:sz w:val="24"/>
          <w:szCs w:val="24"/>
          <w:rtl/>
        </w:rPr>
        <w:t xml:space="preserve">, </w:t>
      </w:r>
      <w:r>
        <w:rPr>
          <w:rFonts w:ascii="David" w:hAnsi="David" w:cs="David"/>
          <w:sz w:val="24"/>
          <w:szCs w:val="24"/>
          <w:rtl/>
        </w:rPr>
        <w:t>על פניו</w:t>
      </w:r>
      <w:r w:rsidR="0083554C">
        <w:rPr>
          <w:rFonts w:ascii="David" w:hAnsi="David" w:cs="David" w:hint="cs"/>
          <w:sz w:val="24"/>
          <w:szCs w:val="24"/>
          <w:rtl/>
        </w:rPr>
        <w:t>,</w:t>
      </w:r>
      <w:r>
        <w:rPr>
          <w:rFonts w:ascii="David" w:hAnsi="David" w:cs="David"/>
          <w:sz w:val="24"/>
          <w:szCs w:val="24"/>
          <w:rtl/>
        </w:rPr>
        <w:t xml:space="preserve"> אינו עונה לדרישת תקנה 4(ה) לתקנות הנוטריונים, תשל"ז-1977</w:t>
      </w:r>
      <w:r w:rsidR="0083554C">
        <w:rPr>
          <w:rFonts w:ascii="David" w:hAnsi="David" w:cs="David" w:hint="cs"/>
          <w:sz w:val="24"/>
          <w:szCs w:val="24"/>
          <w:rtl/>
        </w:rPr>
        <w:t xml:space="preserve">. </w:t>
      </w:r>
      <w:r>
        <w:rPr>
          <w:rFonts w:ascii="David" w:hAnsi="David" w:cs="David"/>
          <w:sz w:val="24"/>
          <w:szCs w:val="24"/>
          <w:rtl/>
        </w:rPr>
        <w:t xml:space="preserve">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ביום 2.4.2024 התקיים דיון קדם משפט ראשון בפני המותב הקודם שדן בתובענות, כבוד השופטת כרמית חדד. הדיון התקיים בדרך של היוועדות חזותית, כאשר המבקשת וב"כ התייצבו באמצעות שיחת ווידאו, ואילו המשיב וב"כ התייצבו באופן פיזי באולם בית המשפט. לאחר שהניסיון להביא את הצדדים להסכמות לא צלח, נתן בית המשפט הוראות לגבי המשך ניהול ההליכים. </w:t>
      </w:r>
    </w:p>
    <w:p w:rsidR="00CC068A"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lastRenderedPageBreak/>
        <w:t xml:space="preserve">ביום 8.7.2024 ניתנה החלטה בבקשות שהגישה המבקשת כדלקמן: בקשת ארכה להגשת בקשות התקבלה; בקשה לגילוי מסמכים מהליך מינוי אפוטרופוס התקבלה; בקשה לקבל מידע בדבר היקף נכסי העיזבון נדחתה; השאלה על מי יוטל נטל ההוכחה נותרה בצריך עיון.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במסגרת </w:t>
      </w:r>
      <w:r w:rsidR="00CC068A">
        <w:rPr>
          <w:rFonts w:ascii="David" w:hAnsi="David" w:cs="David" w:hint="cs"/>
          <w:sz w:val="24"/>
          <w:szCs w:val="24"/>
          <w:rtl/>
        </w:rPr>
        <w:t>ה</w:t>
      </w:r>
      <w:r>
        <w:rPr>
          <w:rFonts w:ascii="David" w:hAnsi="David" w:cs="David"/>
          <w:sz w:val="24"/>
          <w:szCs w:val="24"/>
          <w:rtl/>
        </w:rPr>
        <w:t>החלטה</w:t>
      </w:r>
      <w:r w:rsidR="00CC068A">
        <w:rPr>
          <w:rFonts w:ascii="David" w:hAnsi="David" w:cs="David" w:hint="cs"/>
          <w:sz w:val="24"/>
          <w:szCs w:val="24"/>
          <w:rtl/>
        </w:rPr>
        <w:t xml:space="preserve"> הנ"ל</w:t>
      </w:r>
      <w:r>
        <w:rPr>
          <w:rFonts w:ascii="David" w:hAnsi="David" w:cs="David"/>
          <w:sz w:val="24"/>
          <w:szCs w:val="24"/>
          <w:rtl/>
        </w:rPr>
        <w:t xml:space="preserve">, הורה בית המשפט לצדדים להודיע בתוך 14 ימים עמדתם ביחס להמשך ניהול ההליכים, כאשר צוין, כי יש בעובדה שאף אחד מהצדדים לא עתר למינוי מומחה רפואי לבחינת כשרות המנוחה בעת עריכת הצוואה, כדי לפעול </w:t>
      </w:r>
      <w:r w:rsidR="00CC068A">
        <w:rPr>
          <w:rFonts w:ascii="David" w:hAnsi="David" w:cs="David"/>
          <w:sz w:val="24"/>
          <w:szCs w:val="24"/>
          <w:rtl/>
        </w:rPr>
        <w:t xml:space="preserve">כנגד הצד שיימצא שנטל ההוכחה </w:t>
      </w:r>
      <w:r w:rsidR="00CC068A">
        <w:rPr>
          <w:rFonts w:ascii="David" w:hAnsi="David" w:cs="David" w:hint="cs"/>
          <w:sz w:val="24"/>
          <w:szCs w:val="24"/>
          <w:rtl/>
        </w:rPr>
        <w:t>חל עליו</w:t>
      </w:r>
      <w:r>
        <w:rPr>
          <w:rFonts w:ascii="David" w:hAnsi="David" w:cs="David"/>
          <w:sz w:val="24"/>
          <w:szCs w:val="24"/>
          <w:rtl/>
        </w:rPr>
        <w:t xml:space="preserve">.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ביום 8.7.2024, על פי הנחיית כבוד הנשיא, השופט עמית יריב, הועברו התובענות להתברר לפני.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לאחר שהמבקשת הודיעה על רצונה להמשיך לברר את ההתנגדות, נקבע דיון קדם משפט נוסף ליום 7.11.2024.  </w:t>
      </w:r>
    </w:p>
    <w:p w:rsidR="00C33143" w:rsidRDefault="00C33143" w:rsidP="00D72E4F">
      <w:pPr>
        <w:spacing w:after="120" w:line="480" w:lineRule="auto"/>
        <w:rPr>
          <w:rFonts w:asciiTheme="minorHAnsi" w:hAnsiTheme="minorHAnsi" w:cstheme="minorBidi"/>
          <w:sz w:val="22"/>
          <w:szCs w:val="22"/>
        </w:rPr>
      </w:pPr>
      <w:r>
        <w:rPr>
          <w:rFonts w:ascii="David" w:hAnsi="David"/>
          <w:b/>
          <w:bCs/>
          <w:u w:val="single"/>
          <w:rtl/>
        </w:rPr>
        <w:t>הבקשה דנן</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ביום 6.10.2024 הגישה המבקשת את הבקשה דנן, </w:t>
      </w:r>
      <w:r w:rsidR="00D72E4F">
        <w:rPr>
          <w:rFonts w:ascii="David" w:hAnsi="David" w:cs="David" w:hint="cs"/>
          <w:sz w:val="24"/>
          <w:szCs w:val="24"/>
          <w:rtl/>
        </w:rPr>
        <w:t xml:space="preserve">בה נטען כי </w:t>
      </w:r>
      <w:r>
        <w:rPr>
          <w:rFonts w:ascii="David" w:hAnsi="David" w:cs="David"/>
          <w:sz w:val="24"/>
          <w:szCs w:val="24"/>
          <w:rtl/>
        </w:rPr>
        <w:t xml:space="preserve">המבקשת מתגוררת דרך קבע בקנדה עם ילדיה הקטינים הזקוקים להשגחתה, וכי בנה בן ה-6, המאובחן על הרצף האוטיסטי, זקוק לטיפולה; כי לבן זוגה לא נותרו ימי חופש מהעבודה, כך שהוא לא יכול לשהות עם הקטינים בהעדרה; כי בשל המצב הביטחוני </w:t>
      </w:r>
      <w:r w:rsidR="00CC068A">
        <w:rPr>
          <w:rFonts w:ascii="David" w:hAnsi="David" w:cs="David" w:hint="cs"/>
          <w:sz w:val="24"/>
          <w:szCs w:val="24"/>
          <w:rtl/>
        </w:rPr>
        <w:t>היא</w:t>
      </w:r>
      <w:r>
        <w:rPr>
          <w:rFonts w:ascii="David" w:hAnsi="David" w:cs="David"/>
          <w:sz w:val="24"/>
          <w:szCs w:val="24"/>
          <w:rtl/>
        </w:rPr>
        <w:t xml:space="preserve"> חוששת להגיע לישראל</w:t>
      </w:r>
      <w:r w:rsidR="00D72E4F">
        <w:rPr>
          <w:rFonts w:ascii="David" w:hAnsi="David" w:cs="David" w:hint="cs"/>
          <w:sz w:val="24"/>
          <w:szCs w:val="24"/>
          <w:rtl/>
        </w:rPr>
        <w:t>;</w:t>
      </w:r>
      <w:r>
        <w:rPr>
          <w:rFonts w:ascii="David" w:hAnsi="David" w:cs="David"/>
          <w:sz w:val="24"/>
          <w:szCs w:val="24"/>
          <w:rtl/>
        </w:rPr>
        <w:t xml:space="preserve"> וכי הטיסות הישירות בין ישראל לקנדה בוטלו. לפיכך, המבקשת עתרה כי הדיון יתקיים בדרך של היוועדות חזותית ממשרדו של בא כוחה</w:t>
      </w:r>
      <w:r w:rsidR="00D72E4F">
        <w:rPr>
          <w:rFonts w:ascii="David" w:hAnsi="David" w:cs="David" w:hint="cs"/>
          <w:sz w:val="24"/>
          <w:szCs w:val="24"/>
          <w:rtl/>
        </w:rPr>
        <w:t xml:space="preserve"> השוהה אף הוא בקנדה</w:t>
      </w:r>
      <w:r>
        <w:rPr>
          <w:rFonts w:ascii="David" w:hAnsi="David" w:cs="David"/>
          <w:sz w:val="24"/>
          <w:szCs w:val="24"/>
          <w:rtl/>
        </w:rPr>
        <w:t xml:space="preserve"> (סעיף 14 לבקשה). יצוין, כי התצהיר שצורף לבקשה נחתם בקנדה, וכי האסמכתאות שצורפו לעניין מצבו הרפואי של בנה הקטין משנת 2019 ומשנת 2021, הוגשו בשפה האנגלית.   </w:t>
      </w:r>
    </w:p>
    <w:p w:rsidR="00C33143" w:rsidRDefault="00CC068A" w:rsidP="00D72E4F">
      <w:pPr>
        <w:pStyle w:val="ad"/>
        <w:numPr>
          <w:ilvl w:val="0"/>
          <w:numId w:val="1"/>
        </w:numPr>
        <w:spacing w:after="120" w:line="480" w:lineRule="auto"/>
        <w:jc w:val="both"/>
      </w:pPr>
      <w:r>
        <w:rPr>
          <w:rFonts w:ascii="David" w:hAnsi="David" w:cs="David"/>
          <w:sz w:val="24"/>
          <w:szCs w:val="24"/>
          <w:rtl/>
        </w:rPr>
        <w:t>בתגובתו, התנגד המשיב לבקשה</w:t>
      </w:r>
      <w:r>
        <w:rPr>
          <w:rFonts w:ascii="David" w:hAnsi="David" w:cs="David" w:hint="cs"/>
          <w:sz w:val="24"/>
          <w:szCs w:val="24"/>
          <w:rtl/>
        </w:rPr>
        <w:t xml:space="preserve">, וטען, בתמצית, כדלקמן: </w:t>
      </w:r>
      <w:r w:rsidR="00C33143">
        <w:rPr>
          <w:rFonts w:ascii="David" w:hAnsi="David" w:cs="David"/>
          <w:sz w:val="24"/>
          <w:szCs w:val="24"/>
          <w:rtl/>
        </w:rPr>
        <w:t xml:space="preserve">האסמכתאות הרפואיות שצורפו </w:t>
      </w:r>
      <w:r>
        <w:rPr>
          <w:rFonts w:ascii="David" w:hAnsi="David" w:cs="David" w:hint="cs"/>
          <w:sz w:val="24"/>
          <w:szCs w:val="24"/>
          <w:rtl/>
        </w:rPr>
        <w:t xml:space="preserve">לא תורגמו כדין, </w:t>
      </w:r>
      <w:r w:rsidR="00C33143">
        <w:rPr>
          <w:rFonts w:ascii="David" w:hAnsi="David" w:cs="David"/>
          <w:sz w:val="24"/>
          <w:szCs w:val="24"/>
          <w:rtl/>
        </w:rPr>
        <w:t>לא מעודכנות</w:t>
      </w:r>
      <w:r>
        <w:rPr>
          <w:rFonts w:ascii="David" w:hAnsi="David" w:cs="David" w:hint="cs"/>
          <w:sz w:val="24"/>
          <w:szCs w:val="24"/>
          <w:rtl/>
        </w:rPr>
        <w:t>,</w:t>
      </w:r>
      <w:r w:rsidR="00C33143">
        <w:rPr>
          <w:rFonts w:ascii="David" w:hAnsi="David" w:cs="David"/>
          <w:sz w:val="24"/>
          <w:szCs w:val="24"/>
          <w:rtl/>
        </w:rPr>
        <w:t xml:space="preserve"> ולא מעידות על מצב רפואי דחוף המחייב טיפול של המבקשת עצמה בבנה הקטין; קיימות טיסות מקנדה לישראל ובחזרה, והימנעות המבקשת להתייצב הינה משיקולים כלכליים; יש חשיבות להתרשמות בית המשפט ממערכת היחסים </w:t>
      </w:r>
      <w:r>
        <w:rPr>
          <w:rFonts w:ascii="David" w:hAnsi="David" w:cs="David" w:hint="cs"/>
          <w:sz w:val="24"/>
          <w:szCs w:val="24"/>
          <w:rtl/>
        </w:rPr>
        <w:t>בין הצדדים</w:t>
      </w:r>
      <w:r w:rsidR="005A3DAF">
        <w:rPr>
          <w:rFonts w:ascii="David" w:hAnsi="David" w:cs="David"/>
          <w:sz w:val="24"/>
          <w:szCs w:val="24"/>
          <w:rtl/>
        </w:rPr>
        <w:t xml:space="preserve"> באופן בלתי אמצעי</w:t>
      </w:r>
      <w:r w:rsidR="005A3DAF">
        <w:rPr>
          <w:rFonts w:ascii="David" w:hAnsi="David" w:cs="David" w:hint="cs"/>
          <w:sz w:val="24"/>
          <w:szCs w:val="24"/>
          <w:rtl/>
        </w:rPr>
        <w:t xml:space="preserve">, </w:t>
      </w:r>
      <w:r w:rsidR="00C33143">
        <w:rPr>
          <w:rFonts w:ascii="David" w:hAnsi="David" w:cs="David"/>
          <w:sz w:val="24"/>
          <w:szCs w:val="24"/>
          <w:rtl/>
        </w:rPr>
        <w:t xml:space="preserve">בפרט כאשר המבקשת היא זו אשר פתחה בהליכים; קיום דיונים בהיוועדות </w:t>
      </w:r>
      <w:r w:rsidR="00C33143">
        <w:rPr>
          <w:rFonts w:ascii="David" w:hAnsi="David" w:cs="David"/>
          <w:sz w:val="24"/>
          <w:szCs w:val="24"/>
          <w:rtl/>
        </w:rPr>
        <w:lastRenderedPageBreak/>
        <w:t xml:space="preserve">חזותית נבע ממשבר הקורונה, והיעתרות לבקשה היא במצבים של מגבלה פיזית או סכנה לבריאותו של בעל הדין או העד, שלא כבענייננו. </w:t>
      </w:r>
    </w:p>
    <w:p w:rsidR="00C33143" w:rsidRPr="00CC068A" w:rsidRDefault="00C33143" w:rsidP="00D72E4F">
      <w:pPr>
        <w:spacing w:after="120" w:line="480" w:lineRule="auto"/>
        <w:jc w:val="both"/>
        <w:rPr>
          <w:rFonts w:ascii="David" w:hAnsi="David"/>
          <w:b/>
          <w:bCs/>
          <w:u w:val="single"/>
          <w:rtl/>
        </w:rPr>
      </w:pPr>
      <w:r w:rsidRPr="00CC068A">
        <w:rPr>
          <w:rFonts w:ascii="David" w:hAnsi="David"/>
          <w:b/>
          <w:bCs/>
          <w:u w:val="single"/>
          <w:rtl/>
        </w:rPr>
        <w:t>דיון והכרעה</w:t>
      </w:r>
    </w:p>
    <w:p w:rsidR="00C33143" w:rsidRDefault="00C33143" w:rsidP="005A3DAF">
      <w:pPr>
        <w:pStyle w:val="ad"/>
        <w:numPr>
          <w:ilvl w:val="0"/>
          <w:numId w:val="1"/>
        </w:numPr>
        <w:spacing w:after="120" w:line="480" w:lineRule="auto"/>
        <w:jc w:val="both"/>
        <w:rPr>
          <w:rFonts w:ascii="David" w:hAnsi="David" w:cs="David"/>
          <w:sz w:val="24"/>
          <w:szCs w:val="24"/>
          <w:rtl/>
        </w:rPr>
      </w:pPr>
      <w:r>
        <w:rPr>
          <w:rFonts w:ascii="David" w:hAnsi="David" w:cs="David"/>
          <w:sz w:val="24"/>
          <w:szCs w:val="24"/>
          <w:rtl/>
        </w:rPr>
        <w:t>בפתח הדברים יצוין, כי עיון בת</w:t>
      </w:r>
      <w:r w:rsidR="007A27DB">
        <w:rPr>
          <w:rFonts w:ascii="David" w:hAnsi="David" w:cs="David"/>
          <w:sz w:val="24"/>
          <w:szCs w:val="24"/>
          <w:rtl/>
        </w:rPr>
        <w:t>צהיר שצורף לתמיכה בבקשה מעלה כי</w:t>
      </w:r>
      <w:r w:rsidR="007A27DB">
        <w:rPr>
          <w:rFonts w:ascii="David" w:hAnsi="David" w:cs="David" w:hint="cs"/>
          <w:sz w:val="24"/>
          <w:szCs w:val="24"/>
          <w:rtl/>
        </w:rPr>
        <w:t xml:space="preserve">, לכאורה, </w:t>
      </w:r>
      <w:r w:rsidR="007A27DB">
        <w:rPr>
          <w:rFonts w:ascii="David" w:hAnsi="David" w:cs="David"/>
          <w:sz w:val="24"/>
          <w:szCs w:val="24"/>
          <w:rtl/>
        </w:rPr>
        <w:t>התצהיר אינו ע</w:t>
      </w:r>
      <w:r w:rsidR="007A27DB">
        <w:rPr>
          <w:rFonts w:ascii="David" w:hAnsi="David" w:cs="David" w:hint="cs"/>
          <w:sz w:val="24"/>
          <w:szCs w:val="24"/>
          <w:rtl/>
        </w:rPr>
        <w:t xml:space="preserve">ולה בקנה אחד </w:t>
      </w:r>
      <w:r>
        <w:rPr>
          <w:rFonts w:ascii="David" w:hAnsi="David" w:cs="David"/>
          <w:sz w:val="24"/>
          <w:szCs w:val="24"/>
          <w:rtl/>
        </w:rPr>
        <w:t>עם הוראות הדין</w:t>
      </w:r>
      <w:r w:rsidR="005A3DAF">
        <w:rPr>
          <w:rFonts w:ascii="David" w:hAnsi="David" w:cs="David" w:hint="cs"/>
          <w:sz w:val="24"/>
          <w:szCs w:val="24"/>
          <w:rtl/>
        </w:rPr>
        <w:t>,</w:t>
      </w:r>
      <w:r>
        <w:rPr>
          <w:rFonts w:ascii="David" w:hAnsi="David" w:cs="David"/>
          <w:sz w:val="24"/>
          <w:szCs w:val="24"/>
          <w:rtl/>
        </w:rPr>
        <w:t xml:space="preserve"> הקבועות בסעיף 15 לפקודת הראיות [נוסח חדש], תשל"א-1971, ובתקנה 6 לתקנות סדר הדין האזרחי, התשע"ט-2018 (להלן: "</w:t>
      </w:r>
      <w:r>
        <w:rPr>
          <w:rFonts w:ascii="David" w:hAnsi="David" w:cs="David"/>
          <w:b/>
          <w:bCs/>
          <w:sz w:val="24"/>
          <w:szCs w:val="24"/>
          <w:rtl/>
        </w:rPr>
        <w:t>תקנות סדר הדין</w:t>
      </w:r>
      <w:r>
        <w:rPr>
          <w:rFonts w:ascii="David" w:hAnsi="David" w:cs="David"/>
          <w:sz w:val="24"/>
          <w:szCs w:val="24"/>
          <w:rtl/>
        </w:rPr>
        <w:t xml:space="preserve">"). זאת, שעה שעיון בחלק של אימות התצהיר מעלה, כי התצהיר נחתם ע"י המבקשת ובא כוחה כאשר </w:t>
      </w:r>
      <w:r w:rsidR="005A3DAF">
        <w:rPr>
          <w:rFonts w:ascii="David" w:hAnsi="David" w:cs="David" w:hint="cs"/>
          <w:sz w:val="24"/>
          <w:szCs w:val="24"/>
          <w:rtl/>
        </w:rPr>
        <w:t xml:space="preserve">ככל הנראה </w:t>
      </w:r>
      <w:r>
        <w:rPr>
          <w:rFonts w:ascii="David" w:hAnsi="David" w:cs="David"/>
          <w:sz w:val="24"/>
          <w:szCs w:val="24"/>
          <w:rtl/>
        </w:rPr>
        <w:t xml:space="preserve">שניהם שהו </w:t>
      </w:r>
      <w:r>
        <w:rPr>
          <w:rFonts w:ascii="David" w:hAnsi="David" w:cs="David"/>
          <w:b/>
          <w:bCs/>
          <w:sz w:val="24"/>
          <w:szCs w:val="24"/>
          <w:rtl/>
        </w:rPr>
        <w:t>מחוץ לתחומי מדינת ישראל</w:t>
      </w:r>
      <w:r>
        <w:rPr>
          <w:rFonts w:ascii="David" w:hAnsi="David" w:cs="David"/>
          <w:sz w:val="24"/>
          <w:szCs w:val="24"/>
          <w:rtl/>
        </w:rPr>
        <w:t xml:space="preserve">, ולא צורף אישור אימות קונסולרי כדין. הגם שדי היה בכך כדי לדחות את הבקשה, מצאתי </w:t>
      </w:r>
      <w:r w:rsidR="005A3DAF">
        <w:rPr>
          <w:rFonts w:ascii="David" w:hAnsi="David" w:cs="David" w:hint="cs"/>
          <w:sz w:val="24"/>
          <w:szCs w:val="24"/>
          <w:rtl/>
        </w:rPr>
        <w:t>להידרש לה,</w:t>
      </w:r>
      <w:r>
        <w:rPr>
          <w:rFonts w:ascii="David" w:hAnsi="David" w:cs="David"/>
          <w:sz w:val="24"/>
          <w:szCs w:val="24"/>
          <w:rtl/>
        </w:rPr>
        <w:t xml:space="preserve"> ולדחותה גם לגופה.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ברירת המחדל בבית המשפט לענייני משפחה, הקבועה בתקנה 23 לתקנות בית המשפט לענייני משפחה (סדרי דין), תשפ"א-2020 (להלן: "</w:t>
      </w:r>
      <w:r>
        <w:rPr>
          <w:rFonts w:ascii="David" w:hAnsi="David" w:cs="David"/>
          <w:b/>
          <w:bCs/>
          <w:sz w:val="24"/>
          <w:szCs w:val="24"/>
          <w:rtl/>
        </w:rPr>
        <w:t>תקנות משפחה</w:t>
      </w:r>
      <w:r>
        <w:rPr>
          <w:rFonts w:ascii="David" w:hAnsi="David" w:cs="David"/>
          <w:sz w:val="24"/>
          <w:szCs w:val="24"/>
          <w:rtl/>
        </w:rPr>
        <w:t xml:space="preserve">"), הינה כי בעל דין נדרש להתייצב בעצמו לדיון בבית המשפט, לרבות לישיבת קדם משפט. זאת ,להבדיל מדיון קדם משפט אזרחי "רגיל", אשר בו ברירת המחדל היא שבעל הדין לא נדרש להתייצב בעצמו, ודי בכך שבא כוחו יהיה נוכח בדיון (יששכר רוזן-צבי </w:t>
      </w:r>
      <w:r>
        <w:rPr>
          <w:rFonts w:ascii="David" w:hAnsi="David" w:cs="David"/>
          <w:b/>
          <w:bCs/>
          <w:sz w:val="24"/>
          <w:szCs w:val="24"/>
          <w:rtl/>
        </w:rPr>
        <w:t>הרפורמה בסדר הדין האזרחי:</w:t>
      </w:r>
      <w:r>
        <w:rPr>
          <w:rFonts w:ascii="David" w:hAnsi="David" w:cs="David"/>
          <w:b/>
          <w:bCs/>
          <w:sz w:val="24"/>
          <w:szCs w:val="24"/>
        </w:rPr>
        <w:t xml:space="preserve"> </w:t>
      </w:r>
      <w:r>
        <w:rPr>
          <w:rFonts w:ascii="David" w:hAnsi="David" w:cs="David"/>
          <w:b/>
          <w:bCs/>
          <w:sz w:val="24"/>
          <w:szCs w:val="24"/>
          <w:rtl/>
        </w:rPr>
        <w:t>מורה נבוכים</w:t>
      </w:r>
      <w:r>
        <w:rPr>
          <w:rFonts w:ascii="David" w:hAnsi="David" w:cs="David"/>
          <w:sz w:val="24"/>
          <w:szCs w:val="24"/>
          <w:rtl/>
        </w:rPr>
        <w:t xml:space="preserve"> (2021), בעמ' 245).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החובה החלה על מתדיין בבית המשפט לענייני משפחה להתייצב בעצמו לכלל הדיונים, לרבות לדיון קדם משפט (וזאת בשונה מהליך אזרחי "רגיל" כאמור), נעוצה במאפיינים הייחודים של ניהול הליך אזרחי בענייני משפחה, ובראשם – עירוב התחומים שבין "המשפטי" לבין "הרגשי". </w:t>
      </w:r>
      <w:r w:rsidR="005A3DAF">
        <w:rPr>
          <w:rFonts w:ascii="David" w:hAnsi="David" w:cs="David" w:hint="cs"/>
          <w:sz w:val="24"/>
          <w:szCs w:val="24"/>
          <w:rtl/>
        </w:rPr>
        <w:t xml:space="preserve">סבורני כי </w:t>
      </w:r>
      <w:r>
        <w:rPr>
          <w:rFonts w:ascii="David" w:hAnsi="David" w:cs="David"/>
          <w:sz w:val="24"/>
          <w:szCs w:val="24"/>
          <w:rtl/>
        </w:rPr>
        <w:t xml:space="preserve">התייצבות בעלי הדין </w:t>
      </w:r>
      <w:r w:rsidR="005A3DAF">
        <w:rPr>
          <w:rFonts w:ascii="David" w:hAnsi="David" w:cs="David" w:hint="cs"/>
          <w:sz w:val="24"/>
          <w:szCs w:val="24"/>
          <w:rtl/>
        </w:rPr>
        <w:t xml:space="preserve">באופן אישי </w:t>
      </w:r>
      <w:r>
        <w:rPr>
          <w:rFonts w:ascii="David" w:hAnsi="David" w:cs="David"/>
          <w:sz w:val="24"/>
          <w:szCs w:val="24"/>
          <w:rtl/>
        </w:rPr>
        <w:t>לדיון מסייעת בידי בית המשפט לזהות אינטרסים משותפים לצדדים; לבחון אפשרויות לפתרון המחלוקות</w:t>
      </w:r>
      <w:r w:rsidR="007A27DB">
        <w:rPr>
          <w:rFonts w:ascii="David" w:hAnsi="David" w:cs="David" w:hint="cs"/>
          <w:sz w:val="24"/>
          <w:szCs w:val="24"/>
          <w:rtl/>
        </w:rPr>
        <w:t xml:space="preserve"> בראיית הצרכים המשותפים</w:t>
      </w:r>
      <w:r>
        <w:rPr>
          <w:rFonts w:ascii="David" w:hAnsi="David" w:cs="David"/>
          <w:sz w:val="24"/>
          <w:szCs w:val="24"/>
          <w:rtl/>
        </w:rPr>
        <w:t xml:space="preserve">; ויש בה כדי להגשים את התכלית של הכרעה בסכסוך שבין הצדדים בהתאם לזכויותיהם המהותיות, תוך ניהול ההליך ביעילות וברגישות, כנדרש וכמתחייב בניהול הליכים בענייני משפחה.  </w:t>
      </w:r>
    </w:p>
    <w:p w:rsidR="00C33143" w:rsidRDefault="00C33143" w:rsidP="005A3DA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לצד זאת, תקנות סדר הדין</w:t>
      </w:r>
      <w:r w:rsidR="007A27DB">
        <w:rPr>
          <w:rFonts w:ascii="David" w:hAnsi="David" w:cs="David" w:hint="cs"/>
          <w:sz w:val="24"/>
          <w:szCs w:val="24"/>
          <w:rtl/>
        </w:rPr>
        <w:t xml:space="preserve"> האזרחי</w:t>
      </w:r>
      <w:r>
        <w:rPr>
          <w:rFonts w:ascii="David" w:hAnsi="David" w:cs="David"/>
          <w:sz w:val="24"/>
          <w:szCs w:val="24"/>
          <w:rtl/>
        </w:rPr>
        <w:t xml:space="preserve">, שאחד מעקרונות היסוד העומדים בבסיסן הינו קיום דיון ביעילות </w:t>
      </w:r>
      <w:r w:rsidR="007A27DB">
        <w:rPr>
          <w:rFonts w:ascii="David" w:hAnsi="David" w:cs="David" w:hint="cs"/>
          <w:sz w:val="24"/>
          <w:szCs w:val="24"/>
          <w:rtl/>
        </w:rPr>
        <w:t>(</w:t>
      </w:r>
      <w:r w:rsidR="00CB76DC">
        <w:rPr>
          <w:rFonts w:ascii="David" w:hAnsi="David" w:cs="David" w:hint="cs"/>
          <w:sz w:val="24"/>
          <w:szCs w:val="24"/>
          <w:rtl/>
        </w:rPr>
        <w:t>כמפורט בחלק א'</w:t>
      </w:r>
      <w:r w:rsidR="007A27DB">
        <w:rPr>
          <w:rFonts w:ascii="David" w:hAnsi="David" w:cs="David" w:hint="cs"/>
          <w:sz w:val="24"/>
          <w:szCs w:val="24"/>
          <w:rtl/>
        </w:rPr>
        <w:t xml:space="preserve"> לתקנות סדר הדין)</w:t>
      </w:r>
      <w:r>
        <w:rPr>
          <w:rFonts w:ascii="David" w:hAnsi="David" w:cs="David"/>
          <w:sz w:val="24"/>
          <w:szCs w:val="24"/>
          <w:rtl/>
        </w:rPr>
        <w:t>, מאפשרות להורות על קיום דיון ק</w:t>
      </w:r>
      <w:r w:rsidR="00CB76DC">
        <w:rPr>
          <w:rFonts w:ascii="David" w:hAnsi="David" w:cs="David"/>
          <w:sz w:val="24"/>
          <w:szCs w:val="24"/>
          <w:rtl/>
        </w:rPr>
        <w:t>דם משפט בדרך של היוועדות חזותית</w:t>
      </w:r>
      <w:r w:rsidR="00CB76DC">
        <w:rPr>
          <w:rFonts w:ascii="David" w:hAnsi="David" w:cs="David" w:hint="cs"/>
          <w:sz w:val="24"/>
          <w:szCs w:val="24"/>
          <w:rtl/>
        </w:rPr>
        <w:t xml:space="preserve">, </w:t>
      </w:r>
      <w:r>
        <w:rPr>
          <w:rFonts w:ascii="David" w:hAnsi="David" w:cs="David"/>
          <w:sz w:val="24"/>
          <w:szCs w:val="24"/>
          <w:rtl/>
        </w:rPr>
        <w:t xml:space="preserve">לפי תקנה 61(ג) לתקנות סדר הדין. כמו כן, התקנות מאפשרות להורות על </w:t>
      </w:r>
      <w:r>
        <w:rPr>
          <w:rFonts w:ascii="David" w:hAnsi="David" w:cs="David"/>
          <w:sz w:val="24"/>
          <w:szCs w:val="24"/>
          <w:rtl/>
        </w:rPr>
        <w:lastRenderedPageBreak/>
        <w:t xml:space="preserve">שמיעת עדות בדרך של היוועדות חזותית בתוך שטח מדינת ישראל או מחוצה לה, וזאת בהתקיים התנאים הקבועים בתקנה 72 לתקנות סדר הדין.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הנה כי כן, מגמת הדין הכללי היא להרחיב את השימוש באמצעים טכנולוגיים בקיום דיונים בדרך של היוועדות חזותית</w:t>
      </w:r>
      <w:r w:rsidR="003E2271">
        <w:rPr>
          <w:rFonts w:ascii="David" w:hAnsi="David" w:cs="David" w:hint="cs"/>
          <w:sz w:val="24"/>
          <w:szCs w:val="24"/>
          <w:rtl/>
        </w:rPr>
        <w:t xml:space="preserve"> מטעמי יעילות דיונית</w:t>
      </w:r>
      <w:r>
        <w:rPr>
          <w:rFonts w:ascii="David" w:hAnsi="David" w:cs="David"/>
          <w:sz w:val="24"/>
          <w:szCs w:val="24"/>
          <w:rtl/>
        </w:rPr>
        <w:t xml:space="preserve">. יפים לעניין זה הדברים הבאים: </w:t>
      </w:r>
    </w:p>
    <w:p w:rsidR="00C33143" w:rsidRDefault="00C33143" w:rsidP="005A3DAF">
      <w:pPr>
        <w:pStyle w:val="ad"/>
        <w:spacing w:after="120" w:line="480" w:lineRule="auto"/>
        <w:ind w:left="1440" w:right="1134"/>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מגמת הדין היא להרחיב את האפשרות לקיים דיונים בהיוועדות חזותית, </w:t>
      </w:r>
      <w:r>
        <w:rPr>
          <w:rFonts w:ascii="David" w:hAnsi="David" w:cs="David"/>
          <w:b/>
          <w:bCs/>
          <w:sz w:val="24"/>
          <w:szCs w:val="24"/>
          <w:u w:val="single"/>
          <w:rtl/>
        </w:rPr>
        <w:t>במקרים המתאימים</w:t>
      </w:r>
      <w:r>
        <w:rPr>
          <w:rFonts w:ascii="David" w:hAnsi="David" w:cs="David"/>
          <w:b/>
          <w:bCs/>
          <w:sz w:val="24"/>
          <w:szCs w:val="24"/>
          <w:rtl/>
        </w:rPr>
        <w:t>, הן בשל השינויים הטכנולוגיים שמאפשרים תקשורת טובה ותמונה ברורה של מי שאינו נוכח באולם בית המשפט הן בשל החיסכון בהוצאות, בוודאי לעדים ולבעלי דין שנמצאים בחו"ל. מגמה זו באה לידי ביטוי בתקנות 61(ג) ו -72 לתקנות סדר הדין האזרחי שעיגנו את אפשרות ההיוועדות החזותית בדין</w:t>
      </w:r>
      <w:r>
        <w:rPr>
          <w:rFonts w:ascii="David" w:hAnsi="David" w:cs="David"/>
          <w:sz w:val="24"/>
          <w:szCs w:val="24"/>
          <w:rtl/>
        </w:rPr>
        <w:t xml:space="preserve">" (כבוד השופט ש' שוחט בבע"מ 1416/22 </w:t>
      </w:r>
      <w:r>
        <w:rPr>
          <w:rFonts w:ascii="David" w:hAnsi="David" w:cs="David"/>
          <w:b/>
          <w:bCs/>
          <w:sz w:val="24"/>
          <w:szCs w:val="24"/>
          <w:rtl/>
        </w:rPr>
        <w:t>פלונית נ' פלוני</w:t>
      </w:r>
      <w:r>
        <w:rPr>
          <w:rFonts w:ascii="David" w:hAnsi="David" w:cs="David"/>
          <w:sz w:val="24"/>
          <w:szCs w:val="24"/>
          <w:rtl/>
        </w:rPr>
        <w:t xml:space="preserve"> (פורסם בנבו, 28.2.2022)</w:t>
      </w:r>
      <w:r w:rsidR="005A3DAF">
        <w:rPr>
          <w:rFonts w:ascii="David" w:hAnsi="David" w:cs="David" w:hint="cs"/>
          <w:sz w:val="24"/>
          <w:szCs w:val="24"/>
          <w:rtl/>
        </w:rPr>
        <w:t>, בפסקה 10</w:t>
      </w:r>
      <w:r>
        <w:rPr>
          <w:rFonts w:ascii="David" w:hAnsi="David" w:cs="David"/>
          <w:sz w:val="24"/>
          <w:szCs w:val="24"/>
          <w:rtl/>
        </w:rPr>
        <w:t xml:space="preserve">; ההדגשה הוספה, ה.א.ג).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אשר לתנאים לשמיעת עדות בדרך של היוועדות חזותית, התנאים קבועים, כאמור, בתקנה 72 לתקנות סדר הדין האזרחי, אשר לשונה כדלקמן: </w:t>
      </w:r>
    </w:p>
    <w:p w:rsidR="00C33143" w:rsidRDefault="00C33143" w:rsidP="00D72E4F">
      <w:pPr>
        <w:pStyle w:val="ad"/>
        <w:spacing w:after="120" w:line="480" w:lineRule="auto"/>
        <w:ind w:left="360"/>
        <w:rPr>
          <w:rFonts w:ascii="David" w:hAnsi="David" w:cs="David"/>
          <w:b/>
          <w:bCs/>
          <w:sz w:val="24"/>
          <w:szCs w:val="24"/>
        </w:rPr>
      </w:pPr>
      <w:r>
        <w:rPr>
          <w:rFonts w:ascii="David" w:hAnsi="David" w:cs="David"/>
          <w:b/>
          <w:bCs/>
          <w:sz w:val="24"/>
          <w:szCs w:val="24"/>
          <w:rtl/>
        </w:rPr>
        <w:t>"(א) בית המשפט רשאי להתיר שמיעת עדות בדרך של היוועדות חזותית בתוך שטחה של מדינת ישראל או מחוצה לה לפי הוראות שייתן, אם השתכנע כי התקיימו התנאים האלה:</w:t>
      </w:r>
    </w:p>
    <w:p w:rsidR="00C33143" w:rsidRDefault="00C33143" w:rsidP="00D72E4F">
      <w:pPr>
        <w:pStyle w:val="ad"/>
        <w:spacing w:after="120" w:line="480" w:lineRule="auto"/>
        <w:rPr>
          <w:rFonts w:ascii="David" w:hAnsi="David" w:cs="David"/>
          <w:b/>
          <w:bCs/>
          <w:sz w:val="24"/>
          <w:szCs w:val="24"/>
          <w:rtl/>
        </w:rPr>
      </w:pPr>
      <w:r>
        <w:rPr>
          <w:rFonts w:ascii="David" w:hAnsi="David" w:cs="David"/>
          <w:b/>
          <w:bCs/>
          <w:sz w:val="24"/>
          <w:szCs w:val="24"/>
          <w:rtl/>
        </w:rPr>
        <w:t>(1)</w:t>
      </w:r>
      <w:r>
        <w:rPr>
          <w:rFonts w:ascii="David" w:hAnsi="David" w:cs="David"/>
          <w:b/>
          <w:bCs/>
          <w:sz w:val="24"/>
          <w:szCs w:val="24"/>
          <w:rtl/>
        </w:rPr>
        <w:tab/>
        <w:t>הגעתו של העד לבית המשפט שבו נדונה התובענה שבעניינה הוא נדרש להעיד תקשה עליו מאוד, והוא נתן את הסכמתו למתן עדות בדרך זו;</w:t>
      </w:r>
    </w:p>
    <w:p w:rsidR="00C33143" w:rsidRDefault="00C33143" w:rsidP="00D72E4F">
      <w:pPr>
        <w:pStyle w:val="ad"/>
        <w:spacing w:after="120" w:line="480" w:lineRule="auto"/>
        <w:rPr>
          <w:rFonts w:ascii="David" w:hAnsi="David" w:cs="David"/>
          <w:b/>
          <w:bCs/>
          <w:sz w:val="24"/>
          <w:szCs w:val="24"/>
          <w:rtl/>
        </w:rPr>
      </w:pPr>
      <w:r>
        <w:rPr>
          <w:rFonts w:ascii="David" w:hAnsi="David" w:cs="David"/>
          <w:b/>
          <w:bCs/>
          <w:sz w:val="24"/>
          <w:szCs w:val="24"/>
          <w:rtl/>
        </w:rPr>
        <w:t>(2)</w:t>
      </w:r>
      <w:r>
        <w:rPr>
          <w:rFonts w:ascii="David" w:hAnsi="David" w:cs="David"/>
          <w:b/>
          <w:bCs/>
          <w:sz w:val="24"/>
          <w:szCs w:val="24"/>
          <w:rtl/>
        </w:rPr>
        <w:tab/>
        <w:t>עדותו של העד חיונית לשאלות השנויות במחלוקת;</w:t>
      </w:r>
    </w:p>
    <w:p w:rsidR="00C33143" w:rsidRDefault="00C33143" w:rsidP="00D72E4F">
      <w:pPr>
        <w:pStyle w:val="ad"/>
        <w:spacing w:after="120" w:line="480" w:lineRule="auto"/>
        <w:rPr>
          <w:rFonts w:ascii="David" w:hAnsi="David" w:cs="David"/>
          <w:b/>
          <w:bCs/>
          <w:sz w:val="24"/>
          <w:szCs w:val="24"/>
          <w:rtl/>
        </w:rPr>
      </w:pPr>
      <w:r>
        <w:rPr>
          <w:rFonts w:ascii="David" w:hAnsi="David" w:cs="David"/>
          <w:b/>
          <w:bCs/>
          <w:sz w:val="24"/>
          <w:szCs w:val="24"/>
          <w:rtl/>
        </w:rPr>
        <w:t>(3)</w:t>
      </w:r>
      <w:r>
        <w:rPr>
          <w:rFonts w:ascii="David" w:hAnsi="David" w:cs="David"/>
          <w:b/>
          <w:bCs/>
          <w:sz w:val="24"/>
          <w:szCs w:val="24"/>
          <w:rtl/>
        </w:rPr>
        <w:tab/>
        <w:t>אין מניעה מבחינת מדינת החוץ לשמיעת עדות בדרך זו בתחומה.</w:t>
      </w:r>
    </w:p>
    <w:p w:rsidR="00C33143" w:rsidRDefault="00C33143" w:rsidP="00D72E4F">
      <w:pPr>
        <w:pStyle w:val="ad"/>
        <w:spacing w:after="120" w:line="480" w:lineRule="auto"/>
        <w:ind w:left="360"/>
        <w:rPr>
          <w:rFonts w:ascii="David" w:hAnsi="David" w:cs="David"/>
          <w:b/>
          <w:bCs/>
          <w:sz w:val="24"/>
          <w:szCs w:val="24"/>
          <w:rtl/>
        </w:rPr>
      </w:pPr>
      <w:r>
        <w:rPr>
          <w:rFonts w:ascii="David" w:hAnsi="David" w:cs="David"/>
          <w:b/>
          <w:bCs/>
          <w:sz w:val="24"/>
          <w:szCs w:val="24"/>
          <w:rtl/>
        </w:rPr>
        <w:t>(ב)</w:t>
      </w:r>
      <w:r>
        <w:rPr>
          <w:rFonts w:ascii="David" w:hAnsi="David" w:cs="David"/>
          <w:b/>
          <w:bCs/>
          <w:sz w:val="24"/>
          <w:szCs w:val="24"/>
          <w:rtl/>
        </w:rPr>
        <w:tab/>
        <w:t>היוועדות חזותית תתאפשר אם המקום שבו ימסור העד את עדותו ואולם בית המשפט שבו נדונה התובענה יכללו, בין השאר –</w:t>
      </w:r>
    </w:p>
    <w:p w:rsidR="00C33143" w:rsidRDefault="00C33143" w:rsidP="00D72E4F">
      <w:pPr>
        <w:pStyle w:val="ad"/>
        <w:spacing w:after="120" w:line="480" w:lineRule="auto"/>
        <w:rPr>
          <w:rFonts w:ascii="David" w:hAnsi="David" w:cs="David"/>
          <w:b/>
          <w:bCs/>
          <w:sz w:val="24"/>
          <w:szCs w:val="24"/>
          <w:rtl/>
        </w:rPr>
      </w:pPr>
      <w:r>
        <w:rPr>
          <w:rFonts w:ascii="David" w:hAnsi="David" w:cs="David"/>
          <w:b/>
          <w:bCs/>
          <w:sz w:val="24"/>
          <w:szCs w:val="24"/>
          <w:rtl/>
        </w:rPr>
        <w:t>(1)</w:t>
      </w:r>
      <w:r>
        <w:rPr>
          <w:rFonts w:ascii="David" w:hAnsi="David" w:cs="David"/>
          <w:b/>
          <w:bCs/>
          <w:sz w:val="24"/>
          <w:szCs w:val="24"/>
          <w:rtl/>
        </w:rPr>
        <w:tab/>
        <w:t>מכשור המאפשר לעד לראות ולשמוע במהלך עדותו את המתרחש באולם בית המשפט שבו נדונה התובענה שבעניינה הוא נדרש להעיד, אם בית המשפט מצא שהדבר דרוש בנסיבות העניין;</w:t>
      </w:r>
    </w:p>
    <w:p w:rsidR="00C33143" w:rsidRDefault="00C33143" w:rsidP="00D72E4F">
      <w:pPr>
        <w:pStyle w:val="ad"/>
        <w:spacing w:after="120" w:line="480" w:lineRule="auto"/>
        <w:rPr>
          <w:rFonts w:ascii="David" w:hAnsi="David" w:cs="David"/>
          <w:b/>
          <w:bCs/>
          <w:sz w:val="24"/>
          <w:szCs w:val="24"/>
          <w:rtl/>
        </w:rPr>
      </w:pPr>
      <w:r>
        <w:rPr>
          <w:rFonts w:ascii="David" w:hAnsi="David" w:cs="David"/>
          <w:b/>
          <w:bCs/>
          <w:sz w:val="24"/>
          <w:szCs w:val="24"/>
          <w:rtl/>
        </w:rPr>
        <w:lastRenderedPageBreak/>
        <w:t>(2)</w:t>
      </w:r>
      <w:r>
        <w:rPr>
          <w:rFonts w:ascii="David" w:hAnsi="David" w:cs="David"/>
          <w:b/>
          <w:bCs/>
          <w:sz w:val="24"/>
          <w:szCs w:val="24"/>
          <w:rtl/>
        </w:rPr>
        <w:tab/>
        <w:t>מצלמה המאפשרת צילום תקריב של מסמכים;</w:t>
      </w:r>
    </w:p>
    <w:p w:rsidR="00C33143" w:rsidRDefault="00C33143" w:rsidP="00D72E4F">
      <w:pPr>
        <w:pStyle w:val="ad"/>
        <w:spacing w:after="120" w:line="480" w:lineRule="auto"/>
        <w:rPr>
          <w:rFonts w:ascii="David" w:hAnsi="David" w:cs="David"/>
          <w:b/>
          <w:bCs/>
          <w:sz w:val="24"/>
          <w:szCs w:val="24"/>
          <w:rtl/>
        </w:rPr>
      </w:pPr>
      <w:r>
        <w:rPr>
          <w:rFonts w:ascii="David" w:hAnsi="David" w:cs="David"/>
          <w:b/>
          <w:bCs/>
          <w:sz w:val="24"/>
          <w:szCs w:val="24"/>
          <w:rtl/>
        </w:rPr>
        <w:t>(3)</w:t>
      </w:r>
      <w:r>
        <w:rPr>
          <w:rFonts w:ascii="David" w:hAnsi="David" w:cs="David"/>
          <w:b/>
          <w:bCs/>
          <w:sz w:val="24"/>
          <w:szCs w:val="24"/>
          <w:rtl/>
        </w:rPr>
        <w:tab/>
        <w:t>מסך צפייה מרכזי באולם בית המשפט וכן מסך צפייה אישי לשופט.</w:t>
      </w:r>
    </w:p>
    <w:p w:rsidR="00C33143" w:rsidRDefault="00C33143" w:rsidP="00D72E4F">
      <w:pPr>
        <w:pStyle w:val="ad"/>
        <w:spacing w:after="120" w:line="480" w:lineRule="auto"/>
        <w:ind w:left="360"/>
        <w:jc w:val="both"/>
        <w:rPr>
          <w:rFonts w:ascii="David" w:hAnsi="David" w:cs="David"/>
          <w:b/>
          <w:bCs/>
          <w:sz w:val="24"/>
          <w:szCs w:val="24"/>
          <w:rtl/>
        </w:rPr>
      </w:pPr>
      <w:r>
        <w:rPr>
          <w:rFonts w:ascii="David" w:hAnsi="David" w:cs="David"/>
          <w:b/>
          <w:bCs/>
          <w:sz w:val="24"/>
          <w:szCs w:val="24"/>
          <w:rtl/>
        </w:rPr>
        <w:t>(ג)</w:t>
      </w:r>
      <w:r>
        <w:rPr>
          <w:rFonts w:ascii="David" w:hAnsi="David" w:cs="David"/>
          <w:b/>
          <w:bCs/>
          <w:sz w:val="24"/>
          <w:szCs w:val="24"/>
          <w:rtl/>
        </w:rPr>
        <w:tab/>
        <w:t>מנהל בתי המשפט רשאי להורות על דרישות טכניות לעניין האמצעים הנדרשים לשמיעת העדות בהיוועדות חזותית."</w:t>
      </w:r>
    </w:p>
    <w:p w:rsidR="00C33143" w:rsidRDefault="00C33143" w:rsidP="005A3DA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בפסיקה נקבע, כי המונח "תקשה עליו מאוד", </w:t>
      </w:r>
      <w:r w:rsidR="005A3DAF">
        <w:rPr>
          <w:rFonts w:ascii="David" w:hAnsi="David" w:cs="David" w:hint="cs"/>
          <w:sz w:val="24"/>
          <w:szCs w:val="24"/>
          <w:rtl/>
        </w:rPr>
        <w:t>הטבוע</w:t>
      </w:r>
      <w:r>
        <w:rPr>
          <w:rFonts w:ascii="David" w:hAnsi="David" w:cs="David"/>
          <w:sz w:val="24"/>
          <w:szCs w:val="24"/>
          <w:rtl/>
        </w:rPr>
        <w:t xml:space="preserve"> בתקנה 72(א)(1) לתקנות סדר הדין, מתייחס למצבים של קושי</w:t>
      </w:r>
      <w:r w:rsidR="003E2271">
        <w:rPr>
          <w:rFonts w:ascii="David" w:hAnsi="David" w:cs="David"/>
          <w:sz w:val="24"/>
          <w:szCs w:val="24"/>
          <w:rtl/>
        </w:rPr>
        <w:t xml:space="preserve"> בריאותי ממשי המגובה באסמכתאות</w:t>
      </w:r>
      <w:r w:rsidR="003E2271">
        <w:rPr>
          <w:rFonts w:ascii="David" w:hAnsi="David" w:cs="David" w:hint="cs"/>
          <w:sz w:val="24"/>
          <w:szCs w:val="24"/>
          <w:rtl/>
        </w:rPr>
        <w:t xml:space="preserve">, או </w:t>
      </w:r>
      <w:r>
        <w:rPr>
          <w:rFonts w:ascii="David" w:hAnsi="David" w:cs="David"/>
          <w:sz w:val="24"/>
          <w:szCs w:val="24"/>
          <w:rtl/>
        </w:rPr>
        <w:t>קושי להתייצב מחמת מ</w:t>
      </w:r>
      <w:r w:rsidR="003E2271">
        <w:rPr>
          <w:rFonts w:ascii="David" w:hAnsi="David" w:cs="David"/>
          <w:sz w:val="24"/>
          <w:szCs w:val="24"/>
          <w:rtl/>
        </w:rPr>
        <w:t>אסר העד במדינה אחרת וכיוב'</w:t>
      </w:r>
      <w:r w:rsidR="003E2271">
        <w:rPr>
          <w:rFonts w:ascii="David" w:hAnsi="David" w:cs="David" w:hint="cs"/>
          <w:sz w:val="24"/>
          <w:szCs w:val="24"/>
          <w:rtl/>
        </w:rPr>
        <w:t xml:space="preserve">. </w:t>
      </w:r>
      <w:r>
        <w:rPr>
          <w:rFonts w:ascii="David" w:hAnsi="David" w:cs="David"/>
          <w:sz w:val="24"/>
          <w:szCs w:val="24"/>
          <w:rtl/>
        </w:rPr>
        <w:t xml:space="preserve">בכל מקרה, </w:t>
      </w:r>
      <w:r w:rsidR="005A3DAF">
        <w:rPr>
          <w:rFonts w:ascii="David" w:hAnsi="David" w:cs="David" w:hint="cs"/>
          <w:sz w:val="24"/>
          <w:szCs w:val="24"/>
          <w:rtl/>
        </w:rPr>
        <w:t xml:space="preserve">נקבע, </w:t>
      </w:r>
      <w:r w:rsidR="003E2271">
        <w:rPr>
          <w:rFonts w:ascii="David" w:hAnsi="David" w:cs="David" w:hint="cs"/>
          <w:sz w:val="24"/>
          <w:szCs w:val="24"/>
          <w:rtl/>
        </w:rPr>
        <w:t xml:space="preserve">כי </w:t>
      </w:r>
      <w:r>
        <w:rPr>
          <w:rFonts w:ascii="David" w:hAnsi="David" w:cs="David"/>
          <w:sz w:val="24"/>
          <w:szCs w:val="24"/>
          <w:rtl/>
        </w:rPr>
        <w:t xml:space="preserve">בקשה לקיום דיון בהיוועדות חזותית כפופה לעקרון תום הלב (רמ"ש 1101-06-22 </w:t>
      </w:r>
      <w:r>
        <w:rPr>
          <w:rFonts w:ascii="David" w:hAnsi="David" w:cs="David"/>
          <w:b/>
          <w:bCs/>
          <w:sz w:val="24"/>
          <w:szCs w:val="24"/>
          <w:rtl/>
        </w:rPr>
        <w:t>א.מ.ה נ' ש.ם</w:t>
      </w:r>
      <w:r>
        <w:rPr>
          <w:rFonts w:ascii="David" w:hAnsi="David" w:cs="David"/>
          <w:sz w:val="24"/>
          <w:szCs w:val="24"/>
          <w:rtl/>
        </w:rPr>
        <w:t xml:space="preserve"> (פורסם בנבו, 2.6.2022)). </w:t>
      </w:r>
    </w:p>
    <w:p w:rsidR="00C33143" w:rsidRDefault="009A5F77" w:rsidP="009A5F77">
      <w:pPr>
        <w:pStyle w:val="ad"/>
        <w:numPr>
          <w:ilvl w:val="0"/>
          <w:numId w:val="1"/>
        </w:numPr>
        <w:spacing w:after="120" w:line="480" w:lineRule="auto"/>
        <w:jc w:val="both"/>
        <w:rPr>
          <w:u w:val="single"/>
        </w:rPr>
      </w:pPr>
      <w:r>
        <w:rPr>
          <w:rFonts w:ascii="David" w:hAnsi="David" w:cs="David" w:hint="cs"/>
          <w:sz w:val="24"/>
          <w:szCs w:val="24"/>
          <w:rtl/>
        </w:rPr>
        <w:t>אמנם</w:t>
      </w:r>
      <w:r w:rsidR="00C33143">
        <w:rPr>
          <w:rFonts w:ascii="David" w:hAnsi="David" w:cs="David"/>
          <w:sz w:val="24"/>
          <w:szCs w:val="24"/>
          <w:rtl/>
        </w:rPr>
        <w:t xml:space="preserve"> תקנה 72 לתקנות סדר הדין מתייחסת למתן היתר לעדות בדרך של היוועדות חזותית, ולא לשמיעת דיון קדם משפט באמצעות היוועדות חזותית, כפי שמבוקש במסגרת הבקשה שבפני. עם זאת, מהדין החל </w:t>
      </w:r>
      <w:r>
        <w:rPr>
          <w:rFonts w:ascii="David" w:hAnsi="David" w:cs="David" w:hint="cs"/>
          <w:sz w:val="24"/>
          <w:szCs w:val="24"/>
          <w:rtl/>
        </w:rPr>
        <w:t>בעניין</w:t>
      </w:r>
      <w:r w:rsidR="00C33143">
        <w:rPr>
          <w:rFonts w:ascii="David" w:hAnsi="David" w:cs="David"/>
          <w:sz w:val="24"/>
          <w:szCs w:val="24"/>
          <w:rtl/>
        </w:rPr>
        <w:t xml:space="preserve"> שמיעת עדות בדרך של היוועדות חזותית, ניתן להסיק גם לעניין בקשה לקיום דיון קדם משפט בדרך של היוועדות חזותית, כבענייננו. </w:t>
      </w:r>
    </w:p>
    <w:p w:rsidR="00457DAC" w:rsidRPr="00457DAC" w:rsidRDefault="00C33143" w:rsidP="00D72E4F">
      <w:pPr>
        <w:pStyle w:val="ad"/>
        <w:numPr>
          <w:ilvl w:val="0"/>
          <w:numId w:val="1"/>
        </w:numPr>
        <w:spacing w:after="120" w:line="480" w:lineRule="auto"/>
        <w:jc w:val="both"/>
        <w:rPr>
          <w:rFonts w:ascii="David" w:hAnsi="David" w:cs="David"/>
          <w:b/>
          <w:bCs/>
          <w:sz w:val="24"/>
          <w:szCs w:val="24"/>
        </w:rPr>
      </w:pPr>
      <w:r w:rsidRPr="00457DAC">
        <w:rPr>
          <w:rFonts w:ascii="David" w:hAnsi="David" w:cs="David"/>
          <w:sz w:val="24"/>
          <w:szCs w:val="24"/>
          <w:rtl/>
        </w:rPr>
        <w:t>כך, גם במסגרת בקשה לקיים דיון קדם משפט בהיוועדות חזותית, צריכה לעמוד לנגד עיני בית המשפט המגמה להרחיב את השימוש באמצעים טכנולוגיים לטובת ייעול ההליכים</w:t>
      </w:r>
      <w:r w:rsidR="003E2271" w:rsidRPr="00457DAC">
        <w:rPr>
          <w:rFonts w:ascii="David" w:hAnsi="David" w:cs="David" w:hint="cs"/>
          <w:sz w:val="24"/>
          <w:szCs w:val="24"/>
          <w:rtl/>
        </w:rPr>
        <w:t xml:space="preserve">, חיסכון בעלויות ונגישות </w:t>
      </w:r>
      <w:r w:rsidR="009A5F77">
        <w:rPr>
          <w:rFonts w:ascii="David" w:hAnsi="David" w:cs="David" w:hint="cs"/>
          <w:sz w:val="24"/>
          <w:szCs w:val="24"/>
          <w:rtl/>
        </w:rPr>
        <w:t xml:space="preserve">הצדדים </w:t>
      </w:r>
      <w:r w:rsidR="003E2271" w:rsidRPr="00457DAC">
        <w:rPr>
          <w:rFonts w:ascii="David" w:hAnsi="David" w:cs="David" w:hint="cs"/>
          <w:sz w:val="24"/>
          <w:szCs w:val="24"/>
          <w:rtl/>
        </w:rPr>
        <w:t>ההליך</w:t>
      </w:r>
      <w:r w:rsidRPr="00457DAC">
        <w:rPr>
          <w:rFonts w:ascii="David" w:hAnsi="David" w:cs="David"/>
          <w:sz w:val="24"/>
          <w:szCs w:val="24"/>
          <w:rtl/>
        </w:rPr>
        <w:t xml:space="preserve">. </w:t>
      </w:r>
    </w:p>
    <w:p w:rsidR="003E2271" w:rsidRDefault="00C33143" w:rsidP="009A5F77">
      <w:pPr>
        <w:pStyle w:val="ad"/>
        <w:numPr>
          <w:ilvl w:val="0"/>
          <w:numId w:val="1"/>
        </w:numPr>
        <w:spacing w:after="120" w:line="480" w:lineRule="auto"/>
        <w:jc w:val="both"/>
        <w:rPr>
          <w:rFonts w:ascii="David" w:hAnsi="David" w:cs="David"/>
          <w:b/>
          <w:bCs/>
          <w:sz w:val="24"/>
          <w:szCs w:val="24"/>
        </w:rPr>
      </w:pPr>
      <w:r w:rsidRPr="00457DAC">
        <w:rPr>
          <w:rFonts w:ascii="David" w:hAnsi="David" w:cs="David"/>
          <w:sz w:val="24"/>
          <w:szCs w:val="24"/>
          <w:rtl/>
        </w:rPr>
        <w:t>לצד זאת,</w:t>
      </w:r>
      <w:r w:rsidR="003E2271" w:rsidRPr="00457DAC">
        <w:rPr>
          <w:rFonts w:ascii="David" w:hAnsi="David" w:cs="David" w:hint="cs"/>
          <w:sz w:val="24"/>
          <w:szCs w:val="24"/>
          <w:rtl/>
        </w:rPr>
        <w:t xml:space="preserve"> </w:t>
      </w:r>
      <w:r w:rsidR="003E2271" w:rsidRPr="00457DAC">
        <w:rPr>
          <w:rFonts w:ascii="David" w:hAnsi="David" w:cs="David" w:hint="cs"/>
          <w:b/>
          <w:bCs/>
          <w:sz w:val="24"/>
          <w:szCs w:val="24"/>
          <w:rtl/>
        </w:rPr>
        <w:t>בפרט כאשר עסקינן בדיון קדם משפט בענייני משפחה</w:t>
      </w:r>
      <w:r w:rsidR="003E2271" w:rsidRPr="00457DAC">
        <w:rPr>
          <w:rFonts w:ascii="David" w:hAnsi="David" w:cs="David" w:hint="cs"/>
          <w:sz w:val="24"/>
          <w:szCs w:val="24"/>
          <w:rtl/>
        </w:rPr>
        <w:t xml:space="preserve">, אשר התייצבות בעלי הדין אליו היא </w:t>
      </w:r>
      <w:r w:rsidR="00391315" w:rsidRPr="00457DAC">
        <w:rPr>
          <w:rFonts w:ascii="David" w:hAnsi="David" w:cs="David" w:hint="cs"/>
          <w:sz w:val="24"/>
          <w:szCs w:val="24"/>
          <w:rtl/>
        </w:rPr>
        <w:t xml:space="preserve">בגדר </w:t>
      </w:r>
      <w:r w:rsidR="003E2271" w:rsidRPr="00457DAC">
        <w:rPr>
          <w:rFonts w:ascii="David" w:hAnsi="David" w:cs="David" w:hint="cs"/>
          <w:sz w:val="24"/>
          <w:szCs w:val="24"/>
          <w:rtl/>
        </w:rPr>
        <w:t>חובה</w:t>
      </w:r>
      <w:r w:rsidR="005A4E00">
        <w:rPr>
          <w:rFonts w:ascii="David" w:hAnsi="David" w:cs="David" w:hint="cs"/>
          <w:sz w:val="24"/>
          <w:szCs w:val="24"/>
          <w:rtl/>
        </w:rPr>
        <w:t xml:space="preserve"> הקבועה בדין</w:t>
      </w:r>
      <w:r w:rsidR="003E2271" w:rsidRPr="00457DAC">
        <w:rPr>
          <w:rFonts w:ascii="David" w:hAnsi="David" w:cs="David" w:hint="cs"/>
          <w:sz w:val="24"/>
          <w:szCs w:val="24"/>
          <w:rtl/>
        </w:rPr>
        <w:t>,</w:t>
      </w:r>
      <w:r w:rsidRPr="00457DAC">
        <w:rPr>
          <w:rFonts w:ascii="David" w:hAnsi="David" w:cs="David"/>
          <w:sz w:val="24"/>
          <w:szCs w:val="24"/>
          <w:rtl/>
        </w:rPr>
        <w:t xml:space="preserve"> על בית המשפט להשתכנע כי מדובר בבקשה מוצדקת, במובן זה שיש </w:t>
      </w:r>
      <w:r w:rsidRPr="00457DAC">
        <w:rPr>
          <w:rFonts w:ascii="David" w:hAnsi="David" w:cs="David"/>
          <w:b/>
          <w:bCs/>
          <w:sz w:val="24"/>
          <w:szCs w:val="24"/>
          <w:rtl/>
        </w:rPr>
        <w:t>מניעה ממשית</w:t>
      </w:r>
      <w:r w:rsidRPr="00457DAC">
        <w:rPr>
          <w:rFonts w:ascii="David" w:hAnsi="David" w:cs="David"/>
          <w:sz w:val="24"/>
          <w:szCs w:val="24"/>
          <w:rtl/>
        </w:rPr>
        <w:t xml:space="preserve"> להתייצב לדיון מצד המבקש לקיים את הדיון בדרך של היוועדות חזותית. </w:t>
      </w:r>
      <w:r w:rsidR="00457DAC" w:rsidRPr="00457DAC">
        <w:rPr>
          <w:rFonts w:ascii="David" w:hAnsi="David" w:cs="David" w:hint="cs"/>
          <w:sz w:val="24"/>
          <w:szCs w:val="24"/>
          <w:rtl/>
        </w:rPr>
        <w:t xml:space="preserve">זאת, מתוך הבנת הערך </w:t>
      </w:r>
      <w:r w:rsidR="009A5F77">
        <w:rPr>
          <w:rFonts w:ascii="David" w:hAnsi="David" w:cs="David" w:hint="cs"/>
          <w:sz w:val="24"/>
          <w:szCs w:val="24"/>
          <w:rtl/>
        </w:rPr>
        <w:t xml:space="preserve">הנעוץ </w:t>
      </w:r>
      <w:r w:rsidR="00457DAC" w:rsidRPr="00457DAC">
        <w:rPr>
          <w:rFonts w:ascii="David" w:hAnsi="David" w:cs="David" w:hint="cs"/>
          <w:sz w:val="24"/>
          <w:szCs w:val="24"/>
          <w:rtl/>
        </w:rPr>
        <w:t xml:space="preserve">בהתייצבותם האישית של הצדדים </w:t>
      </w:r>
      <w:r w:rsidR="00457DAC">
        <w:rPr>
          <w:rFonts w:ascii="David" w:hAnsi="David" w:cs="David" w:hint="cs"/>
          <w:sz w:val="24"/>
          <w:szCs w:val="24"/>
          <w:rtl/>
        </w:rPr>
        <w:t>לדיון</w:t>
      </w:r>
      <w:r w:rsidR="00457DAC" w:rsidRPr="00457DAC">
        <w:rPr>
          <w:rFonts w:ascii="David" w:hAnsi="David" w:cs="David" w:hint="cs"/>
          <w:sz w:val="24"/>
          <w:szCs w:val="24"/>
          <w:rtl/>
        </w:rPr>
        <w:t xml:space="preserve">, אשר יש בה כדי </w:t>
      </w:r>
      <w:r w:rsidR="00457DAC">
        <w:rPr>
          <w:rFonts w:ascii="David" w:hAnsi="David" w:cs="David" w:hint="cs"/>
          <w:sz w:val="24"/>
          <w:szCs w:val="24"/>
          <w:rtl/>
        </w:rPr>
        <w:t xml:space="preserve">לקדם את </w:t>
      </w:r>
      <w:r w:rsidR="00457DAC" w:rsidRPr="00457DAC">
        <w:rPr>
          <w:rFonts w:ascii="David" w:hAnsi="David" w:cs="David" w:hint="cs"/>
          <w:sz w:val="24"/>
          <w:szCs w:val="24"/>
          <w:rtl/>
        </w:rPr>
        <w:t>ניהול ההליך,</w:t>
      </w:r>
      <w:r w:rsidR="00457DAC" w:rsidRPr="00457DAC">
        <w:rPr>
          <w:rFonts w:ascii="David" w:hAnsi="David" w:cs="David"/>
          <w:sz w:val="24"/>
          <w:szCs w:val="24"/>
        </w:rPr>
        <w:t xml:space="preserve"> </w:t>
      </w:r>
      <w:r w:rsidR="00457DAC" w:rsidRPr="00457DAC">
        <w:rPr>
          <w:rFonts w:ascii="David" w:hAnsi="David" w:cs="David" w:hint="cs"/>
          <w:sz w:val="24"/>
          <w:szCs w:val="24"/>
          <w:rtl/>
        </w:rPr>
        <w:t xml:space="preserve">ובמקרים מסוימים, </w:t>
      </w:r>
      <w:r w:rsidR="00457DAC">
        <w:rPr>
          <w:rFonts w:ascii="David" w:hAnsi="David" w:cs="David" w:hint="cs"/>
          <w:sz w:val="24"/>
          <w:szCs w:val="24"/>
          <w:rtl/>
        </w:rPr>
        <w:t>אף לסייע לצדדים בגיבוש</w:t>
      </w:r>
      <w:r w:rsidR="00457DAC" w:rsidRPr="00457DAC">
        <w:rPr>
          <w:rFonts w:ascii="David" w:hAnsi="David" w:cs="David" w:hint="cs"/>
          <w:sz w:val="24"/>
          <w:szCs w:val="24"/>
          <w:rtl/>
        </w:rPr>
        <w:t xml:space="preserve"> פתרון המחלוקות </w:t>
      </w:r>
      <w:r w:rsidR="00457DAC">
        <w:rPr>
          <w:rFonts w:ascii="David" w:hAnsi="David" w:cs="David" w:hint="cs"/>
          <w:sz w:val="24"/>
          <w:szCs w:val="24"/>
          <w:rtl/>
        </w:rPr>
        <w:t>שביניהם</w:t>
      </w:r>
      <w:r w:rsidR="00457DAC" w:rsidRPr="00457DAC">
        <w:rPr>
          <w:rFonts w:ascii="David" w:hAnsi="David" w:cs="David" w:hint="cs"/>
          <w:sz w:val="24"/>
          <w:szCs w:val="24"/>
          <w:rtl/>
        </w:rPr>
        <w:t xml:space="preserve">. </w:t>
      </w:r>
    </w:p>
    <w:p w:rsidR="00C33143" w:rsidRPr="003E2271" w:rsidRDefault="009A5F77" w:rsidP="00D72E4F">
      <w:pPr>
        <w:pStyle w:val="ad"/>
        <w:numPr>
          <w:ilvl w:val="0"/>
          <w:numId w:val="1"/>
        </w:numPr>
        <w:spacing w:after="120" w:line="480" w:lineRule="auto"/>
        <w:jc w:val="both"/>
        <w:rPr>
          <w:rFonts w:ascii="David" w:hAnsi="David" w:cs="David"/>
          <w:b/>
          <w:bCs/>
          <w:sz w:val="24"/>
          <w:szCs w:val="24"/>
        </w:rPr>
      </w:pPr>
      <w:r>
        <w:rPr>
          <w:rFonts w:ascii="David" w:hAnsi="David" w:cs="David" w:hint="cs"/>
          <w:b/>
          <w:bCs/>
          <w:sz w:val="24"/>
          <w:szCs w:val="24"/>
          <w:rtl/>
        </w:rPr>
        <w:t xml:space="preserve">במקרה דנן, </w:t>
      </w:r>
      <w:r w:rsidR="005A4E00">
        <w:rPr>
          <w:rFonts w:ascii="David" w:hAnsi="David" w:cs="David" w:hint="cs"/>
          <w:b/>
          <w:bCs/>
          <w:sz w:val="24"/>
          <w:szCs w:val="24"/>
          <w:rtl/>
        </w:rPr>
        <w:t xml:space="preserve">לאחר שעיינתי בבקשה ובצרופותיה, ובתגובת המשיב, לא מצאתי להיעתר לבקשה לקיים את הדיון בהיוועדות חזותית. </w:t>
      </w:r>
    </w:p>
    <w:p w:rsidR="00C33143" w:rsidRDefault="00C33143" w:rsidP="009A5F77">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ראשית, עיון בנימוקי הבקשה מעלה כי המבקשת תלתה את בקשתה שלא להתייצב לדיון בנסיבותיה האישיות, המתמקדות בטענתה כי עליה לטפל בבנה הקטין שמאובחן עם </w:t>
      </w:r>
      <w:r w:rsidR="009A5F77">
        <w:rPr>
          <w:rFonts w:ascii="David" w:hAnsi="David" w:cs="David" w:hint="cs"/>
          <w:sz w:val="24"/>
          <w:szCs w:val="24"/>
          <w:rtl/>
        </w:rPr>
        <w:t>מוגבלות</w:t>
      </w:r>
      <w:r>
        <w:rPr>
          <w:rFonts w:ascii="David" w:hAnsi="David" w:cs="David"/>
          <w:sz w:val="24"/>
          <w:szCs w:val="24"/>
          <w:rtl/>
        </w:rPr>
        <w:t xml:space="preserve">, וכן במצב הביטחוני הנוכחי ובטענה כי אין טיסות ישירות בין קנדה לבין ישראל. ואולם, כטענת </w:t>
      </w:r>
      <w:r>
        <w:rPr>
          <w:rFonts w:ascii="David" w:hAnsi="David" w:cs="David"/>
          <w:sz w:val="24"/>
          <w:szCs w:val="24"/>
          <w:rtl/>
        </w:rPr>
        <w:lastRenderedPageBreak/>
        <w:t xml:space="preserve">המשיב בתגובתו, הדברים נטענו בעלמא, מבלי שצורפו אסמכתאות מעודכנות ומתורגמות כדין לתמיכה בטענות.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כך, הנימוק בדבר מצבו הרפואי של בנה הקטין של המבקשת, שכלל לא הועלה במסגרת בקשתה הקודמת להתייצב לדיון קדם משפט הראשון באמצעות היוועדות חזותית, נתמך באישורים רפואיים לא מעודכנים מהשנים 2019 ו-2021, שהוגשו בשפה האנגלית ללא תרגום</w:t>
      </w:r>
      <w:r w:rsidR="009A5F77">
        <w:rPr>
          <w:rFonts w:ascii="David" w:hAnsi="David" w:cs="David"/>
          <w:sz w:val="24"/>
          <w:szCs w:val="24"/>
          <w:rtl/>
        </w:rPr>
        <w:t xml:space="preserve"> נוטריוני כדין. זאת ועוד, הטענה</w:t>
      </w:r>
      <w:r w:rsidR="009A5F77">
        <w:rPr>
          <w:rFonts w:ascii="David" w:hAnsi="David" w:cs="David" w:hint="cs"/>
          <w:sz w:val="24"/>
          <w:szCs w:val="24"/>
          <w:rtl/>
        </w:rPr>
        <w:t xml:space="preserve">, </w:t>
      </w:r>
      <w:r>
        <w:rPr>
          <w:rFonts w:ascii="David" w:hAnsi="David" w:cs="David"/>
          <w:sz w:val="24"/>
          <w:szCs w:val="24"/>
          <w:rtl/>
        </w:rPr>
        <w:t>כי אין מבוגר אחר שיכול לשמור על ילדיה הקטי</w:t>
      </w:r>
      <w:r w:rsidR="009A5F77">
        <w:rPr>
          <w:rFonts w:ascii="David" w:hAnsi="David" w:cs="David"/>
          <w:sz w:val="24"/>
          <w:szCs w:val="24"/>
          <w:rtl/>
        </w:rPr>
        <w:t>נים בעת שהייתה של המבקשת בישראל</w:t>
      </w:r>
      <w:r w:rsidR="009A5F77">
        <w:rPr>
          <w:rFonts w:ascii="David" w:hAnsi="David" w:cs="David" w:hint="cs"/>
          <w:sz w:val="24"/>
          <w:szCs w:val="24"/>
          <w:rtl/>
        </w:rPr>
        <w:t xml:space="preserve">, </w:t>
      </w:r>
      <w:r>
        <w:rPr>
          <w:rFonts w:ascii="David" w:hAnsi="David" w:cs="David"/>
          <w:sz w:val="24"/>
          <w:szCs w:val="24"/>
          <w:rtl/>
        </w:rPr>
        <w:t>נטענה אף היא בעלמא, ולא צורף כל אישור להוכחת הטענה לפיה אבי הקטינים, או בני משפחה אחרים, לא יכולים לשהות עימם.</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לעניין המצב הביטחוני בישראל. למרבה הצער, אנו מצויים בשגרת מלחמה זה למעלה משנה.  עם זאת, רב הזמן השמיים פתוחים, ויש טיסות לישראל וממנה. משכך, ואף אם אין טיסות ישירות בין קנדה לבין ישראל, כטענת המבקשת, הרי שהיא יכולה למצוא טיסה שאינה ישירה על מנת להגיע ארצה לצורך הדיון. </w:t>
      </w:r>
    </w:p>
    <w:p w:rsidR="00C33143" w:rsidRDefault="00C33143" w:rsidP="009A5F77">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שנית, בשים לב להחלטות קודמות שניתנו</w:t>
      </w:r>
      <w:r w:rsidR="009A5F77">
        <w:rPr>
          <w:rFonts w:ascii="David" w:hAnsi="David" w:cs="David" w:hint="cs"/>
          <w:sz w:val="24"/>
          <w:szCs w:val="24"/>
          <w:rtl/>
        </w:rPr>
        <w:t xml:space="preserve"> בעניין</w:t>
      </w:r>
      <w:r>
        <w:rPr>
          <w:rFonts w:ascii="David" w:hAnsi="David" w:cs="David"/>
          <w:sz w:val="24"/>
          <w:szCs w:val="24"/>
          <w:rtl/>
        </w:rPr>
        <w:t xml:space="preserve">, ובראיית </w:t>
      </w:r>
      <w:r w:rsidR="009A5F77">
        <w:rPr>
          <w:rFonts w:ascii="David" w:hAnsi="David" w:cs="David" w:hint="cs"/>
          <w:sz w:val="24"/>
          <w:szCs w:val="24"/>
          <w:rtl/>
        </w:rPr>
        <w:t>ה</w:t>
      </w:r>
      <w:r w:rsidR="009A5F77">
        <w:rPr>
          <w:rFonts w:ascii="David" w:hAnsi="David" w:cs="David"/>
          <w:sz w:val="24"/>
          <w:szCs w:val="24"/>
          <w:rtl/>
        </w:rPr>
        <w:t>התנהלות</w:t>
      </w:r>
      <w:r w:rsidR="009A5F77">
        <w:rPr>
          <w:rFonts w:ascii="David" w:hAnsi="David" w:cs="David" w:hint="cs"/>
          <w:sz w:val="24"/>
          <w:szCs w:val="24"/>
          <w:rtl/>
        </w:rPr>
        <w:t xml:space="preserve"> </w:t>
      </w:r>
      <w:r>
        <w:rPr>
          <w:rFonts w:ascii="David" w:hAnsi="David" w:cs="David"/>
          <w:sz w:val="24"/>
          <w:szCs w:val="24"/>
          <w:rtl/>
        </w:rPr>
        <w:t xml:space="preserve">הדיונית עד כה, סבורני כי יש חשיבות מכרעת להתייצבותה </w:t>
      </w:r>
      <w:r w:rsidR="00BE41C4">
        <w:rPr>
          <w:rFonts w:ascii="David" w:hAnsi="David" w:cs="David" w:hint="cs"/>
          <w:sz w:val="24"/>
          <w:szCs w:val="24"/>
          <w:rtl/>
        </w:rPr>
        <w:t>האישית</w:t>
      </w:r>
      <w:r>
        <w:rPr>
          <w:rFonts w:ascii="David" w:hAnsi="David" w:cs="David"/>
          <w:sz w:val="24"/>
          <w:szCs w:val="24"/>
          <w:rtl/>
        </w:rPr>
        <w:t xml:space="preserve"> של המבקשת לדיון. </w:t>
      </w:r>
    </w:p>
    <w:p w:rsidR="00C33143" w:rsidRPr="0025618D" w:rsidRDefault="00C33143" w:rsidP="0025618D">
      <w:pPr>
        <w:pStyle w:val="ad"/>
        <w:numPr>
          <w:ilvl w:val="0"/>
          <w:numId w:val="1"/>
        </w:numPr>
        <w:spacing w:after="120" w:line="480" w:lineRule="auto"/>
        <w:jc w:val="both"/>
        <w:rPr>
          <w:rFonts w:ascii="David" w:hAnsi="David" w:cs="David"/>
          <w:sz w:val="24"/>
          <w:szCs w:val="24"/>
        </w:rPr>
      </w:pPr>
      <w:r w:rsidRPr="0025618D">
        <w:rPr>
          <w:rFonts w:ascii="David" w:hAnsi="David" w:cs="David"/>
          <w:sz w:val="24"/>
          <w:szCs w:val="24"/>
          <w:rtl/>
        </w:rPr>
        <w:t xml:space="preserve">כך, במסגרת ההחלטה שאפשרה </w:t>
      </w:r>
      <w:r w:rsidR="009A5F77" w:rsidRPr="0025618D">
        <w:rPr>
          <w:rFonts w:ascii="David" w:hAnsi="David" w:cs="David" w:hint="cs"/>
          <w:sz w:val="24"/>
          <w:szCs w:val="24"/>
          <w:rtl/>
        </w:rPr>
        <w:t xml:space="preserve">לקיים </w:t>
      </w:r>
      <w:r w:rsidRPr="0025618D">
        <w:rPr>
          <w:rFonts w:ascii="David" w:hAnsi="David" w:cs="David"/>
          <w:sz w:val="24"/>
          <w:szCs w:val="24"/>
          <w:rtl/>
        </w:rPr>
        <w:t>את דיון קדם המשפט הראשון באמצעות היוועדות חזותית, נקבע במפורש כי "</w:t>
      </w:r>
      <w:r w:rsidRPr="0025618D">
        <w:rPr>
          <w:rFonts w:ascii="David" w:hAnsi="David" w:cs="David"/>
          <w:b/>
          <w:bCs/>
          <w:sz w:val="24"/>
          <w:szCs w:val="24"/>
          <w:rtl/>
        </w:rPr>
        <w:t xml:space="preserve">אין בהחלטה זו כדי לקבוע מסמרות לעניין התייצבות המבקשת ליתר הדיונים שיתקיימו במסגרת הליך זה" </w:t>
      </w:r>
      <w:r w:rsidRPr="0025618D">
        <w:rPr>
          <w:rFonts w:ascii="David" w:hAnsi="David" w:cs="David"/>
          <w:sz w:val="24"/>
          <w:szCs w:val="24"/>
          <w:rtl/>
        </w:rPr>
        <w:t>(החלטה מיום 14.2.2023).</w:t>
      </w:r>
      <w:r w:rsidR="009A5F77" w:rsidRPr="0025618D">
        <w:rPr>
          <w:rFonts w:ascii="David" w:hAnsi="David" w:cs="David" w:hint="cs"/>
          <w:sz w:val="24"/>
          <w:szCs w:val="24"/>
          <w:rtl/>
        </w:rPr>
        <w:t xml:space="preserve"> </w:t>
      </w:r>
      <w:r w:rsidRPr="0025618D">
        <w:rPr>
          <w:rFonts w:ascii="David" w:hAnsi="David" w:cs="David"/>
          <w:sz w:val="24"/>
          <w:szCs w:val="24"/>
          <w:rtl/>
        </w:rPr>
        <w:t xml:space="preserve">בנוסף, </w:t>
      </w:r>
      <w:r w:rsidR="009A5F77" w:rsidRPr="0025618D">
        <w:rPr>
          <w:rFonts w:ascii="David" w:hAnsi="David" w:cs="David" w:hint="cs"/>
          <w:sz w:val="24"/>
          <w:szCs w:val="24"/>
          <w:rtl/>
        </w:rPr>
        <w:t xml:space="preserve">במסגרת ההחלטה שאישרה את </w:t>
      </w:r>
      <w:r w:rsidRPr="0025618D">
        <w:rPr>
          <w:rFonts w:ascii="David" w:hAnsi="David" w:cs="David"/>
          <w:sz w:val="24"/>
          <w:szCs w:val="24"/>
          <w:rtl/>
        </w:rPr>
        <w:t>התייצבות בא כוחה של המבקשת</w:t>
      </w:r>
      <w:r w:rsidR="009A5F77" w:rsidRPr="0025618D">
        <w:rPr>
          <w:rFonts w:ascii="David" w:hAnsi="David" w:cs="David" w:hint="cs"/>
          <w:sz w:val="24"/>
          <w:szCs w:val="24"/>
          <w:rtl/>
        </w:rPr>
        <w:t xml:space="preserve"> בהיוועדות חזותית</w:t>
      </w:r>
      <w:r w:rsidR="00336000" w:rsidRPr="0025618D">
        <w:rPr>
          <w:rFonts w:ascii="David" w:hAnsi="David" w:cs="David" w:hint="cs"/>
          <w:sz w:val="24"/>
          <w:szCs w:val="24"/>
          <w:rtl/>
        </w:rPr>
        <w:t xml:space="preserve">, </w:t>
      </w:r>
      <w:r w:rsidRPr="0025618D">
        <w:rPr>
          <w:rFonts w:ascii="David" w:hAnsi="David" w:cs="David"/>
          <w:sz w:val="24"/>
          <w:szCs w:val="24"/>
          <w:rtl/>
        </w:rPr>
        <w:t xml:space="preserve"> נקבע כי "</w:t>
      </w:r>
      <w:r w:rsidRPr="0025618D">
        <w:rPr>
          <w:rFonts w:ascii="David" w:hAnsi="David" w:cs="David"/>
          <w:b/>
          <w:bCs/>
          <w:sz w:val="24"/>
          <w:szCs w:val="24"/>
          <w:rtl/>
        </w:rPr>
        <w:t xml:space="preserve">לפנים משורת הדין ואך בשל מועד הדיון הקרוב, רשאי ב"כ המבקשת להתייצב לדיון בהיוועדות חזותית. האמור בתגובה בכל הנוגע לחיזוק בטחונה האישי של המתנגדת שאין זה בשגרה עבורה להתייצב בבית המשפט אינו ממין העניין מובהר כי על פני הדברים מי שמבקש לנהל הליכים בבית משפט זה מצופה כי יתייצב לדיונים באופן אישי" </w:t>
      </w:r>
      <w:r w:rsidR="0025618D">
        <w:rPr>
          <w:rFonts w:ascii="David" w:hAnsi="David" w:cs="David"/>
          <w:sz w:val="24"/>
          <w:szCs w:val="24"/>
          <w:rtl/>
        </w:rPr>
        <w:t>(החלטה מיום 20.3.2024</w:t>
      </w:r>
      <w:r w:rsidRPr="0025618D">
        <w:rPr>
          <w:rFonts w:ascii="David" w:hAnsi="David" w:cs="David"/>
          <w:sz w:val="24"/>
          <w:szCs w:val="24"/>
          <w:rtl/>
        </w:rPr>
        <w:t xml:space="preserve">). </w:t>
      </w:r>
    </w:p>
    <w:p w:rsidR="00C33143" w:rsidRDefault="00C33143" w:rsidP="0025618D">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הנה כי כן, </w:t>
      </w:r>
      <w:r w:rsidR="00BE41C4">
        <w:rPr>
          <w:rFonts w:ascii="David" w:hAnsi="David" w:cs="David" w:hint="cs"/>
          <w:sz w:val="24"/>
          <w:szCs w:val="24"/>
          <w:rtl/>
        </w:rPr>
        <w:t>כבר</w:t>
      </w:r>
      <w:r>
        <w:rPr>
          <w:rFonts w:ascii="David" w:hAnsi="David" w:cs="David"/>
          <w:sz w:val="24"/>
          <w:szCs w:val="24"/>
          <w:rtl/>
        </w:rPr>
        <w:t xml:space="preserve"> לקראת הדיון הקודם, הובהר למבקשת ולב"כ כי יש חשיבות להתייצבות אישית של בעלי הדין לד</w:t>
      </w:r>
      <w:r w:rsidR="00336000">
        <w:rPr>
          <w:rFonts w:ascii="David" w:hAnsi="David" w:cs="David"/>
          <w:sz w:val="24"/>
          <w:szCs w:val="24"/>
          <w:rtl/>
        </w:rPr>
        <w:t>יונים בבית המשפט לענייני משפחה</w:t>
      </w:r>
      <w:r w:rsidR="00336000">
        <w:rPr>
          <w:rFonts w:ascii="David" w:hAnsi="David" w:cs="David" w:hint="cs"/>
          <w:sz w:val="24"/>
          <w:szCs w:val="24"/>
          <w:rtl/>
        </w:rPr>
        <w:t>,</w:t>
      </w:r>
      <w:r w:rsidR="0025618D">
        <w:rPr>
          <w:rFonts w:ascii="David" w:hAnsi="David" w:cs="David" w:hint="cs"/>
          <w:sz w:val="24"/>
          <w:szCs w:val="24"/>
          <w:rtl/>
        </w:rPr>
        <w:t xml:space="preserve"> כך שהיה על המבקשת</w:t>
      </w:r>
      <w:r w:rsidR="00336000">
        <w:rPr>
          <w:rFonts w:ascii="David" w:hAnsi="David" w:cs="David" w:hint="cs"/>
          <w:sz w:val="24"/>
          <w:szCs w:val="24"/>
          <w:rtl/>
        </w:rPr>
        <w:t xml:space="preserve"> להיערך </w:t>
      </w:r>
      <w:r w:rsidR="0025618D">
        <w:rPr>
          <w:rFonts w:ascii="David" w:hAnsi="David" w:cs="David" w:hint="cs"/>
          <w:sz w:val="24"/>
          <w:szCs w:val="24"/>
          <w:rtl/>
        </w:rPr>
        <w:t>להתייצבות</w:t>
      </w:r>
      <w:r w:rsidR="00336000">
        <w:rPr>
          <w:rFonts w:ascii="David" w:hAnsi="David" w:cs="David" w:hint="cs"/>
          <w:sz w:val="24"/>
          <w:szCs w:val="24"/>
          <w:rtl/>
        </w:rPr>
        <w:t xml:space="preserve"> לקראת הדיון הקרוב. </w:t>
      </w:r>
    </w:p>
    <w:p w:rsidR="00C33143" w:rsidRDefault="00C33143" w:rsidP="00336000">
      <w:pPr>
        <w:pStyle w:val="ad"/>
        <w:numPr>
          <w:ilvl w:val="0"/>
          <w:numId w:val="1"/>
        </w:numPr>
        <w:spacing w:after="120" w:line="480" w:lineRule="auto"/>
        <w:jc w:val="both"/>
        <w:rPr>
          <w:rFonts w:ascii="David" w:hAnsi="David" w:cs="David"/>
          <w:sz w:val="24"/>
          <w:szCs w:val="24"/>
        </w:rPr>
      </w:pPr>
      <w:r>
        <w:rPr>
          <w:rFonts w:ascii="David" w:hAnsi="David" w:cs="David"/>
          <w:sz w:val="24"/>
          <w:szCs w:val="24"/>
          <w:rtl/>
        </w:rPr>
        <w:lastRenderedPageBreak/>
        <w:t xml:space="preserve">אשר להתנהלותם הדיונית של הצדדים עד כה, </w:t>
      </w:r>
      <w:r w:rsidR="00BE41C4">
        <w:rPr>
          <w:rFonts w:ascii="David" w:hAnsi="David" w:cs="David" w:hint="cs"/>
          <w:sz w:val="24"/>
          <w:szCs w:val="24"/>
          <w:rtl/>
        </w:rPr>
        <w:t>כטענת המשיב</w:t>
      </w:r>
      <w:r>
        <w:rPr>
          <w:rFonts w:ascii="David" w:hAnsi="David" w:cs="David"/>
          <w:sz w:val="24"/>
          <w:szCs w:val="24"/>
          <w:rtl/>
        </w:rPr>
        <w:t>, המבקשת הודיעה על רצונה להמשיך לנהל את הליך ה</w:t>
      </w:r>
      <w:r w:rsidR="00BE41C4">
        <w:rPr>
          <w:rFonts w:ascii="David" w:hAnsi="David" w:cs="David"/>
          <w:sz w:val="24"/>
          <w:szCs w:val="24"/>
          <w:rtl/>
        </w:rPr>
        <w:t xml:space="preserve">התנגדות בהודעה </w:t>
      </w:r>
      <w:r w:rsidR="00336000">
        <w:rPr>
          <w:rFonts w:ascii="David" w:hAnsi="David" w:cs="David" w:hint="cs"/>
          <w:sz w:val="24"/>
          <w:szCs w:val="24"/>
          <w:rtl/>
        </w:rPr>
        <w:t>לאקונית</w:t>
      </w:r>
      <w:r w:rsidR="00BE41C4">
        <w:rPr>
          <w:rFonts w:ascii="David" w:hAnsi="David" w:cs="David"/>
          <w:sz w:val="24"/>
          <w:szCs w:val="24"/>
          <w:rtl/>
        </w:rPr>
        <w:t xml:space="preserve"> ולא מנומקת</w:t>
      </w:r>
      <w:r w:rsidR="00BE41C4">
        <w:rPr>
          <w:rFonts w:ascii="David" w:hAnsi="David" w:cs="David" w:hint="cs"/>
          <w:sz w:val="24"/>
          <w:szCs w:val="24"/>
          <w:rtl/>
        </w:rPr>
        <w:t xml:space="preserve">. עם זאת, </w:t>
      </w:r>
      <w:r>
        <w:rPr>
          <w:rFonts w:ascii="David" w:hAnsi="David" w:cs="David"/>
          <w:sz w:val="24"/>
          <w:szCs w:val="24"/>
          <w:rtl/>
        </w:rPr>
        <w:t>לא הוגשה כל בקשה רלוונטית לאחר שהמבקשת קיבלה</w:t>
      </w:r>
      <w:r w:rsidR="00BE41C4">
        <w:rPr>
          <w:rFonts w:ascii="David" w:hAnsi="David" w:cs="David"/>
          <w:sz w:val="24"/>
          <w:szCs w:val="24"/>
          <w:rtl/>
        </w:rPr>
        <w:t xml:space="preserve"> לידיה את המסמכים אשר הומצאו לה</w:t>
      </w:r>
      <w:r>
        <w:rPr>
          <w:rFonts w:ascii="David" w:hAnsi="David" w:cs="David"/>
          <w:sz w:val="24"/>
          <w:szCs w:val="24"/>
          <w:rtl/>
        </w:rPr>
        <w:t xml:space="preserve"> </w:t>
      </w:r>
      <w:r w:rsidR="00BE41C4">
        <w:rPr>
          <w:rFonts w:ascii="David" w:hAnsi="David" w:cs="David" w:hint="cs"/>
          <w:sz w:val="24"/>
          <w:szCs w:val="24"/>
          <w:rtl/>
        </w:rPr>
        <w:t>(</w:t>
      </w:r>
      <w:r>
        <w:rPr>
          <w:rFonts w:ascii="David" w:hAnsi="David" w:cs="David"/>
          <w:sz w:val="24"/>
          <w:szCs w:val="24"/>
          <w:rtl/>
        </w:rPr>
        <w:t>לטענת המשיב</w:t>
      </w:r>
      <w:r w:rsidR="00BE41C4">
        <w:rPr>
          <w:rFonts w:ascii="David" w:hAnsi="David" w:cs="David" w:hint="cs"/>
          <w:sz w:val="24"/>
          <w:szCs w:val="24"/>
          <w:rtl/>
        </w:rPr>
        <w:t>)</w:t>
      </w:r>
      <w:r w:rsidR="00336000">
        <w:rPr>
          <w:rFonts w:ascii="David" w:hAnsi="David" w:cs="David"/>
          <w:sz w:val="24"/>
          <w:szCs w:val="24"/>
          <w:rtl/>
        </w:rPr>
        <w:t>, בהתאם להחלטה מיום 8.7.2024</w:t>
      </w:r>
      <w:r w:rsidR="00336000">
        <w:rPr>
          <w:rFonts w:ascii="David" w:hAnsi="David" w:cs="David" w:hint="cs"/>
          <w:sz w:val="24"/>
          <w:szCs w:val="24"/>
          <w:rtl/>
        </w:rPr>
        <w:t xml:space="preserve">. </w:t>
      </w:r>
      <w:r w:rsidR="0025618D">
        <w:rPr>
          <w:rFonts w:ascii="David" w:hAnsi="David" w:cs="David"/>
          <w:sz w:val="24"/>
          <w:szCs w:val="24"/>
          <w:rtl/>
        </w:rPr>
        <w:t>התנהלות זו מחזקת את המסקנה</w:t>
      </w:r>
      <w:r w:rsidR="0025618D">
        <w:rPr>
          <w:rFonts w:ascii="David" w:hAnsi="David" w:cs="David" w:hint="cs"/>
          <w:sz w:val="24"/>
          <w:szCs w:val="24"/>
          <w:rtl/>
        </w:rPr>
        <w:t xml:space="preserve">, </w:t>
      </w:r>
      <w:r>
        <w:rPr>
          <w:rFonts w:ascii="David" w:hAnsi="David" w:cs="David"/>
          <w:sz w:val="24"/>
          <w:szCs w:val="24"/>
          <w:rtl/>
        </w:rPr>
        <w:t>כי יש חשיבות להתייצבות הפיזית של הצדדים לדיון הקרוב</w:t>
      </w:r>
      <w:r w:rsidR="00336000">
        <w:rPr>
          <w:rFonts w:ascii="David" w:hAnsi="David" w:cs="David" w:hint="cs"/>
          <w:sz w:val="24"/>
          <w:szCs w:val="24"/>
          <w:rtl/>
        </w:rPr>
        <w:t>, על מנת לקדם את ניהול ההליך באופן ממשי</w:t>
      </w:r>
      <w:r>
        <w:rPr>
          <w:rFonts w:ascii="David" w:hAnsi="David" w:cs="David"/>
          <w:sz w:val="24"/>
          <w:szCs w:val="24"/>
          <w:rtl/>
        </w:rPr>
        <w:t xml:space="preserve">. </w:t>
      </w:r>
    </w:p>
    <w:p w:rsidR="00BE41C4" w:rsidRDefault="00BE41C4" w:rsidP="00D72E4F">
      <w:pPr>
        <w:pStyle w:val="ad"/>
        <w:numPr>
          <w:ilvl w:val="0"/>
          <w:numId w:val="1"/>
        </w:numPr>
        <w:spacing w:after="120" w:line="480" w:lineRule="auto"/>
        <w:jc w:val="both"/>
        <w:rPr>
          <w:rFonts w:ascii="David" w:hAnsi="David" w:cs="David"/>
          <w:sz w:val="24"/>
          <w:szCs w:val="24"/>
        </w:rPr>
      </w:pPr>
      <w:r>
        <w:rPr>
          <w:rFonts w:ascii="David" w:hAnsi="David" w:cs="David" w:hint="cs"/>
          <w:sz w:val="24"/>
          <w:szCs w:val="24"/>
          <w:rtl/>
        </w:rPr>
        <w:t xml:space="preserve">שלישית, </w:t>
      </w:r>
      <w:r w:rsidR="007A5830">
        <w:rPr>
          <w:rFonts w:ascii="David" w:hAnsi="David" w:cs="David" w:hint="cs"/>
          <w:sz w:val="24"/>
          <w:szCs w:val="24"/>
          <w:rtl/>
        </w:rPr>
        <w:t>והגם שנימוק זה מצוי בשולי החלטתי, יצוין</w:t>
      </w:r>
      <w:r w:rsidR="000B23E8">
        <w:rPr>
          <w:rFonts w:ascii="David" w:hAnsi="David" w:cs="David" w:hint="cs"/>
          <w:sz w:val="24"/>
          <w:szCs w:val="24"/>
          <w:rtl/>
        </w:rPr>
        <w:t>,</w:t>
      </w:r>
      <w:r w:rsidR="007A5830">
        <w:rPr>
          <w:rFonts w:ascii="David" w:hAnsi="David" w:cs="David" w:hint="cs"/>
          <w:sz w:val="24"/>
          <w:szCs w:val="24"/>
          <w:rtl/>
        </w:rPr>
        <w:t xml:space="preserve"> כי </w:t>
      </w:r>
      <w:r>
        <w:rPr>
          <w:rFonts w:ascii="David" w:hAnsi="David" w:cs="David" w:hint="cs"/>
          <w:sz w:val="24"/>
          <w:szCs w:val="24"/>
          <w:rtl/>
        </w:rPr>
        <w:t>המבקשת עותרת ל</w:t>
      </w:r>
      <w:r w:rsidR="007A5830">
        <w:rPr>
          <w:rFonts w:ascii="David" w:hAnsi="David" w:cs="David" w:hint="cs"/>
          <w:sz w:val="24"/>
          <w:szCs w:val="24"/>
          <w:rtl/>
        </w:rPr>
        <w:t>מעשה ל</w:t>
      </w:r>
      <w:r>
        <w:rPr>
          <w:rFonts w:ascii="David" w:hAnsi="David" w:cs="David" w:hint="cs"/>
          <w:sz w:val="24"/>
          <w:szCs w:val="24"/>
          <w:rtl/>
        </w:rPr>
        <w:t xml:space="preserve">קיום </w:t>
      </w:r>
      <w:r w:rsidR="007A5830">
        <w:rPr>
          <w:rFonts w:ascii="David" w:hAnsi="David" w:cs="David" w:hint="cs"/>
          <w:sz w:val="24"/>
          <w:szCs w:val="24"/>
          <w:rtl/>
        </w:rPr>
        <w:t>ה</w:t>
      </w:r>
      <w:r>
        <w:rPr>
          <w:rFonts w:ascii="David" w:hAnsi="David" w:cs="David" w:hint="cs"/>
          <w:sz w:val="24"/>
          <w:szCs w:val="24"/>
          <w:rtl/>
        </w:rPr>
        <w:t xml:space="preserve">דיון במתכונת </w:t>
      </w:r>
      <w:r w:rsidR="007A5830">
        <w:rPr>
          <w:rFonts w:ascii="David" w:hAnsi="David" w:cs="David" w:hint="cs"/>
          <w:sz w:val="24"/>
          <w:szCs w:val="24"/>
          <w:rtl/>
        </w:rPr>
        <w:t>"היברידית" ולא סימטרית</w:t>
      </w:r>
      <w:r w:rsidR="000B23E8">
        <w:rPr>
          <w:rFonts w:ascii="David" w:hAnsi="David" w:cs="David" w:hint="cs"/>
          <w:sz w:val="24"/>
          <w:szCs w:val="24"/>
          <w:rtl/>
        </w:rPr>
        <w:t>, כאשר</w:t>
      </w:r>
      <w:r w:rsidR="007A5830">
        <w:rPr>
          <w:rFonts w:ascii="David" w:hAnsi="David" w:cs="David" w:hint="cs"/>
          <w:sz w:val="24"/>
          <w:szCs w:val="24"/>
          <w:rtl/>
        </w:rPr>
        <w:t xml:space="preserve"> </w:t>
      </w:r>
      <w:r>
        <w:rPr>
          <w:rFonts w:ascii="David" w:hAnsi="David" w:cs="David" w:hint="cs"/>
          <w:sz w:val="24"/>
          <w:szCs w:val="24"/>
          <w:rtl/>
        </w:rPr>
        <w:t>היא מבקשת שהיא ובא כוחה יתייצבו לדיון בדרך של היוועדות חזותית, ואילו המשיב ובא כוחו י</w:t>
      </w:r>
      <w:r w:rsidR="007A5830">
        <w:rPr>
          <w:rFonts w:ascii="David" w:hAnsi="David" w:cs="David" w:hint="cs"/>
          <w:sz w:val="24"/>
          <w:szCs w:val="24"/>
          <w:rtl/>
        </w:rPr>
        <w:t>תייצבו באולם בית המשפט. ניהול הדיון באופן זה נושא בצידו קשיים טכניים</w:t>
      </w:r>
      <w:r w:rsidR="000B23E8">
        <w:rPr>
          <w:rFonts w:ascii="David" w:hAnsi="David" w:cs="David" w:hint="cs"/>
          <w:sz w:val="24"/>
          <w:szCs w:val="24"/>
          <w:rtl/>
        </w:rPr>
        <w:t xml:space="preserve"> (בהיבט האמצעים הטכנולוגיים המצויים באולם בית המשפט והתוכנה הנדרשת)</w:t>
      </w:r>
      <w:r w:rsidR="007A5830">
        <w:rPr>
          <w:rFonts w:ascii="David" w:hAnsi="David" w:cs="David" w:hint="cs"/>
          <w:sz w:val="24"/>
          <w:szCs w:val="24"/>
          <w:rtl/>
        </w:rPr>
        <w:t xml:space="preserve">, ואף יש בו כדי לסרבל את הדיון שלא לצורך. </w:t>
      </w:r>
    </w:p>
    <w:p w:rsidR="00C33143" w:rsidRDefault="00C33143" w:rsidP="0025618D">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לסיכום, לא ניתן להשלים עם מצב </w:t>
      </w:r>
      <w:r w:rsidR="003A094E">
        <w:rPr>
          <w:rFonts w:ascii="David" w:hAnsi="David" w:cs="David" w:hint="cs"/>
          <w:sz w:val="24"/>
          <w:szCs w:val="24"/>
          <w:rtl/>
        </w:rPr>
        <w:t xml:space="preserve">שבו </w:t>
      </w:r>
      <w:r>
        <w:rPr>
          <w:rFonts w:ascii="David" w:hAnsi="David" w:cs="David"/>
          <w:sz w:val="24"/>
          <w:szCs w:val="24"/>
          <w:rtl/>
        </w:rPr>
        <w:t>עותרת המבקשת לקיים את הליך ההתנגדות ל</w:t>
      </w:r>
      <w:r w:rsidR="00336000">
        <w:rPr>
          <w:rFonts w:ascii="David" w:hAnsi="David" w:cs="David" w:hint="cs"/>
          <w:sz w:val="24"/>
          <w:szCs w:val="24"/>
          <w:rtl/>
        </w:rPr>
        <w:t xml:space="preserve">בקשה לקיום </w:t>
      </w:r>
      <w:r>
        <w:rPr>
          <w:rFonts w:ascii="David" w:hAnsi="David" w:cs="David"/>
          <w:sz w:val="24"/>
          <w:szCs w:val="24"/>
          <w:rtl/>
        </w:rPr>
        <w:t xml:space="preserve">צוואה שהיא </w:t>
      </w:r>
      <w:r w:rsidR="0025618D">
        <w:rPr>
          <w:rFonts w:ascii="David" w:hAnsi="David" w:cs="David" w:hint="cs"/>
          <w:sz w:val="24"/>
          <w:szCs w:val="24"/>
          <w:rtl/>
        </w:rPr>
        <w:t>עצמה פתחה בו</w:t>
      </w:r>
      <w:r>
        <w:rPr>
          <w:rFonts w:ascii="David" w:hAnsi="David" w:cs="David"/>
          <w:sz w:val="24"/>
          <w:szCs w:val="24"/>
          <w:rtl/>
        </w:rPr>
        <w:t xml:space="preserve"> "בשלט רחוק" ממקום מושבה בקנדה</w:t>
      </w:r>
      <w:r w:rsidR="003A094E">
        <w:rPr>
          <w:rFonts w:ascii="David" w:hAnsi="David" w:cs="David" w:hint="cs"/>
          <w:sz w:val="24"/>
          <w:szCs w:val="24"/>
          <w:rtl/>
        </w:rPr>
        <w:t>, באופן המקשה על ניהול ההליך</w:t>
      </w:r>
      <w:r w:rsidR="00336000">
        <w:rPr>
          <w:rFonts w:ascii="David" w:hAnsi="David" w:cs="David" w:hint="cs"/>
          <w:sz w:val="24"/>
          <w:szCs w:val="24"/>
          <w:rtl/>
        </w:rPr>
        <w:t xml:space="preserve">, וזאת בלא </w:t>
      </w:r>
      <w:r w:rsidR="00527C25">
        <w:rPr>
          <w:rFonts w:ascii="David" w:hAnsi="David" w:cs="David"/>
          <w:sz w:val="24"/>
          <w:szCs w:val="24"/>
          <w:rtl/>
        </w:rPr>
        <w:t xml:space="preserve">הצדקה </w:t>
      </w:r>
      <w:r w:rsidR="00336000">
        <w:rPr>
          <w:rFonts w:ascii="David" w:hAnsi="David" w:cs="David" w:hint="cs"/>
          <w:sz w:val="24"/>
          <w:szCs w:val="24"/>
          <w:rtl/>
        </w:rPr>
        <w:t xml:space="preserve">ממשית </w:t>
      </w:r>
      <w:r w:rsidR="00527C25">
        <w:rPr>
          <w:rFonts w:ascii="David" w:hAnsi="David" w:cs="David"/>
          <w:sz w:val="24"/>
          <w:szCs w:val="24"/>
          <w:rtl/>
        </w:rPr>
        <w:t>לאי-התייצבות</w:t>
      </w:r>
      <w:r w:rsidR="00527C25">
        <w:rPr>
          <w:rFonts w:ascii="David" w:hAnsi="David" w:cs="David" w:hint="cs"/>
          <w:sz w:val="24"/>
          <w:szCs w:val="24"/>
          <w:rtl/>
        </w:rPr>
        <w:t xml:space="preserve"> </w:t>
      </w:r>
      <w:r w:rsidR="00336000">
        <w:rPr>
          <w:rFonts w:ascii="David" w:hAnsi="David" w:cs="David" w:hint="cs"/>
          <w:sz w:val="24"/>
          <w:szCs w:val="24"/>
          <w:rtl/>
        </w:rPr>
        <w:t>פיזית</w:t>
      </w:r>
      <w:r>
        <w:rPr>
          <w:rFonts w:ascii="David" w:hAnsi="David" w:cs="David"/>
          <w:sz w:val="24"/>
          <w:szCs w:val="24"/>
          <w:rtl/>
        </w:rPr>
        <w:t xml:space="preserve"> לדיון, ובשים לב להתנהלות עד כה. בנסיבות אלה, יש חשיבות מכרעת להתייצבות הצדדים עצמם </w:t>
      </w:r>
      <w:r w:rsidR="003A094E">
        <w:rPr>
          <w:rFonts w:ascii="David" w:hAnsi="David" w:cs="David" w:hint="cs"/>
          <w:sz w:val="24"/>
          <w:szCs w:val="24"/>
          <w:rtl/>
        </w:rPr>
        <w:t xml:space="preserve">ובאי כוחם </w:t>
      </w:r>
      <w:r w:rsidR="003A094E">
        <w:rPr>
          <w:rFonts w:ascii="David" w:hAnsi="David" w:cs="David"/>
          <w:sz w:val="24"/>
          <w:szCs w:val="24"/>
          <w:rtl/>
        </w:rPr>
        <w:t>לדיון קדם המשפט</w:t>
      </w:r>
      <w:r w:rsidR="003A094E">
        <w:rPr>
          <w:rFonts w:ascii="David" w:hAnsi="David" w:cs="David" w:hint="cs"/>
          <w:sz w:val="24"/>
          <w:szCs w:val="24"/>
          <w:rtl/>
        </w:rPr>
        <w:t>,</w:t>
      </w:r>
      <w:r w:rsidR="003A094E">
        <w:rPr>
          <w:rFonts w:ascii="David" w:hAnsi="David" w:cs="David"/>
          <w:sz w:val="24"/>
          <w:szCs w:val="24"/>
          <w:rtl/>
        </w:rPr>
        <w:t xml:space="preserve"> על מנת לקדם את </w:t>
      </w:r>
      <w:r w:rsidR="003A094E">
        <w:rPr>
          <w:rFonts w:ascii="David" w:hAnsi="David" w:cs="David" w:hint="cs"/>
          <w:sz w:val="24"/>
          <w:szCs w:val="24"/>
          <w:rtl/>
        </w:rPr>
        <w:t>בירור ה</w:t>
      </w:r>
      <w:r>
        <w:rPr>
          <w:rFonts w:ascii="David" w:hAnsi="David" w:cs="David"/>
          <w:sz w:val="24"/>
          <w:szCs w:val="24"/>
          <w:rtl/>
        </w:rPr>
        <w:t xml:space="preserve">הליך. </w:t>
      </w:r>
    </w:p>
    <w:p w:rsidR="00C33143" w:rsidRDefault="00C33143" w:rsidP="00D72E4F">
      <w:pPr>
        <w:pStyle w:val="ad"/>
        <w:numPr>
          <w:ilvl w:val="0"/>
          <w:numId w:val="1"/>
        </w:numPr>
        <w:spacing w:after="120" w:line="480" w:lineRule="auto"/>
        <w:jc w:val="both"/>
        <w:rPr>
          <w:rFonts w:ascii="David" w:hAnsi="David" w:cs="David"/>
          <w:sz w:val="24"/>
          <w:szCs w:val="24"/>
        </w:rPr>
      </w:pPr>
      <w:r>
        <w:rPr>
          <w:rFonts w:ascii="David" w:hAnsi="David" w:cs="David"/>
          <w:sz w:val="24"/>
          <w:szCs w:val="24"/>
          <w:rtl/>
        </w:rPr>
        <w:t xml:space="preserve">הבקשה אפוא נדחית. המבקשת תחויב בהוצאות המשיב בסך של 2,000 ₪. </w:t>
      </w:r>
    </w:p>
    <w:p w:rsidR="00C33143" w:rsidRPr="003A094E" w:rsidRDefault="00C33143" w:rsidP="00D72E4F">
      <w:pPr>
        <w:spacing w:after="120" w:line="480" w:lineRule="auto"/>
        <w:jc w:val="both"/>
        <w:rPr>
          <w:rFonts w:ascii="David" w:hAnsi="David"/>
        </w:rPr>
      </w:pPr>
      <w:r w:rsidRPr="003A094E">
        <w:rPr>
          <w:rFonts w:ascii="David" w:hAnsi="David" w:hint="cs"/>
          <w:rtl/>
        </w:rPr>
        <w:t xml:space="preserve">מותר לפרסום </w:t>
      </w:r>
      <w:r w:rsidR="003A094E">
        <w:rPr>
          <w:rFonts w:ascii="David" w:hAnsi="David" w:hint="cs"/>
          <w:rtl/>
        </w:rPr>
        <w:t>במאגרים משפטיים</w:t>
      </w:r>
      <w:r w:rsidR="0025618D">
        <w:rPr>
          <w:rFonts w:ascii="David" w:hAnsi="David" w:hint="cs"/>
          <w:rtl/>
        </w:rPr>
        <w:t>,</w:t>
      </w:r>
      <w:r w:rsidR="003A094E">
        <w:rPr>
          <w:rFonts w:ascii="David" w:hAnsi="David" w:hint="cs"/>
          <w:rtl/>
        </w:rPr>
        <w:t xml:space="preserve"> </w:t>
      </w:r>
      <w:r w:rsidRPr="003A094E">
        <w:rPr>
          <w:rFonts w:ascii="David" w:hAnsi="David" w:hint="cs"/>
          <w:rtl/>
        </w:rPr>
        <w:t xml:space="preserve">בהשמטת פרטים מזהים. </w:t>
      </w:r>
    </w:p>
    <w:p w:rsidR="00694556" w:rsidRPr="00C33143" w:rsidRDefault="00694556" w:rsidP="00C33143">
      <w:pPr>
        <w:spacing w:after="120" w:line="360" w:lineRule="auto"/>
        <w:jc w:val="both"/>
        <w:rPr>
          <w:rFonts w:ascii="Arial" w:hAnsi="Arial"/>
          <w:noProof w:val="0"/>
          <w:rtl/>
        </w:rPr>
      </w:pPr>
    </w:p>
    <w:p w:rsidR="00694556" w:rsidRPr="00DE1E7D" w:rsidRDefault="00694556" w:rsidP="00C33143">
      <w:pPr>
        <w:spacing w:after="120" w:line="360" w:lineRule="auto"/>
        <w:jc w:val="both"/>
        <w:rPr>
          <w:rFonts w:ascii="Arial" w:hAnsi="Arial"/>
          <w:noProof w:val="0"/>
          <w:rtl/>
        </w:rPr>
      </w:pPr>
    </w:p>
    <w:p w:rsidR="00694556" w:rsidRDefault="0043502B" w:rsidP="00C33143">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אוקטובר 2024</w:t>
          </w:r>
        </w:sdtContent>
      </w:sdt>
      <w:r w:rsidR="00005C8B">
        <w:rPr>
          <w:rFonts w:ascii="Arial" w:hAnsi="Arial"/>
          <w:noProof w:val="0"/>
          <w:rtl/>
        </w:rPr>
        <w:t>, בהעדר הצדדים.</w:t>
      </w:r>
    </w:p>
    <w:p w:rsidR="00C43648" w:rsidRDefault="007B5206" w:rsidP="00C33143">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C33143">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96148107"/>
        </w:sdtPr>
        <w:sdtEndPr/>
        <w:sdtContent>
          <w:r w:rsidR="00DA1EE7">
            <w:drawing>
              <wp:inline distT="0" distB="0" distL="0" distR="0" wp14:editId="50D07946">
                <wp:extent cx="174307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43075" cy="1152525"/>
                        </a:xfrm>
                        <a:prstGeom prst="rect">
                          <a:avLst/>
                        </a:prstGeom>
                      </pic:spPr>
                    </pic:pic>
                  </a:graphicData>
                </a:graphic>
              </wp:inline>
            </w:drawing>
          </w:r>
        </w:sdtContent>
      </w:sdt>
    </w:p>
    <w:p w:rsidR="00694556" w:rsidRDefault="00694556" w:rsidP="00C33143">
      <w:pPr>
        <w:tabs>
          <w:tab w:val="left" w:pos="2553"/>
        </w:tabs>
        <w:spacing w:after="120" w:line="360" w:lineRule="auto"/>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206" w:rsidRDefault="007B5206">
      <w:r>
        <w:separator/>
      </w:r>
    </w:p>
  </w:endnote>
  <w:endnote w:type="continuationSeparator" w:id="0">
    <w:p w:rsidR="007B5206" w:rsidRDefault="007B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40E8E">
      <w:rPr>
        <w:rStyle w:val="ab"/>
        <w:rFonts w:cs="Times New Roman"/>
        <w:rtl/>
      </w:rPr>
      <w:t>8</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40E8E">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206" w:rsidRDefault="007B5206">
      <w:r>
        <w:separator/>
      </w:r>
    </w:p>
  </w:footnote>
  <w:footnote w:type="continuationSeparator" w:id="0">
    <w:p w:rsidR="007B5206" w:rsidRDefault="007B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C33143">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C33143" w:rsidRDefault="003D1C8C" w:rsidP="00C33143">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rsidTr="00C33143">
      <w:trPr>
        <w:trHeight w:val="337"/>
        <w:jc w:val="center"/>
      </w:trPr>
      <w:tc>
        <w:tcPr>
          <w:tcW w:w="8505" w:type="dxa"/>
        </w:tcPr>
        <w:p w:rsidR="0083554C" w:rsidRDefault="007B5206" w:rsidP="0003781E">
          <w:pPr>
            <w:rPr>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31588-09-23</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ג</w:t>
              </w:r>
              <w:r w:rsidR="0003781E">
                <w:rPr>
                  <w:rFonts w:hint="cs"/>
                  <w:b/>
                  <w:bCs/>
                  <w:noProof w:val="0"/>
                  <w:sz w:val="26"/>
                  <w:szCs w:val="26"/>
                  <w:rtl/>
                </w:rPr>
                <w:t>.</w:t>
              </w:r>
              <w:r w:rsidR="00064651">
                <w:rPr>
                  <w:b/>
                  <w:bCs/>
                  <w:noProof w:val="0"/>
                  <w:sz w:val="26"/>
                  <w:szCs w:val="26"/>
                  <w:rtl/>
                </w:rPr>
                <w:t xml:space="preserve"> נ' האפוטרופוס הכללי במחוז דרום ואח'</w:t>
              </w:r>
            </w:sdtContent>
          </w:sdt>
          <w:r w:rsidR="007D45E3">
            <w:rPr>
              <w:rFonts w:hint="cs"/>
              <w:rtl/>
            </w:rPr>
            <w:t xml:space="preserve">       </w:t>
          </w:r>
        </w:p>
        <w:p w:rsidR="007D45E3" w:rsidRPr="0083554C" w:rsidRDefault="0083554C" w:rsidP="00C33143">
          <w:pPr>
            <w:rPr>
              <w:b/>
              <w:bCs/>
              <w:noProof w:val="0"/>
              <w:sz w:val="26"/>
              <w:szCs w:val="26"/>
              <w:rtl/>
            </w:rPr>
          </w:pPr>
          <w:r w:rsidRPr="0083554C">
            <w:rPr>
              <w:b/>
              <w:bCs/>
              <w:sz w:val="26"/>
              <w:szCs w:val="26"/>
              <w:rtl/>
            </w:rPr>
            <w:t>ת"ע 31610-09-23</w:t>
          </w:r>
          <w:r w:rsidR="007D45E3" w:rsidRPr="0083554C">
            <w:rPr>
              <w:rFonts w:hint="cs"/>
              <w:b/>
              <w:bCs/>
              <w:sz w:val="26"/>
              <w:szCs w:val="26"/>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E20522"/>
    <w:multiLevelType w:val="hybridMultilevel"/>
    <w:tmpl w:val="BB74CFDE"/>
    <w:lvl w:ilvl="0" w:tplc="238C3D26">
      <w:start w:val="1"/>
      <w:numFmt w:val="decimal"/>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015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01570&amp;lt;/CaseID&amp;gt;_x000d__x000a_        &amp;lt;CaseMonth&amp;gt;9&amp;lt;/CaseMonth&amp;gt;_x000d__x000a_        &amp;lt;CaseYear&amp;gt;2023&amp;lt;/CaseYear&amp;gt;_x000d__x000a_        &amp;lt;CaseNumber&amp;gt;31588&amp;lt;/CaseNumber&amp;gt;_x000d__x000a_        &amp;lt;NumeratorGroupID&amp;gt;1&amp;lt;/NumeratorGroupID&amp;gt;_x000d__x000a_        &amp;lt;CaseName&amp;gt;גרצברג נ&amp;#39; האפוטרופוס הכללי במחוז דרום ואח&amp;#39;&amp;lt;/CaseName&amp;gt;_x000d__x000a_        &amp;lt;CourtID&amp;gt;43&amp;lt;/CourtID&amp;gt;_x000d__x000a_        &amp;lt;CaseTypeID&amp;gt;86&amp;lt;/CaseTypeID&amp;gt;_x000d__x000a_        &amp;lt;CaseInterestID&amp;gt;160&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1588-09-23&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13T15:25: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01570&amp;lt;/CaseID&amp;gt;_x000d__x000a_        &amp;lt;CaseMonth&amp;gt;9&amp;lt;/CaseMonth&amp;gt;_x000d__x000a_        &amp;lt;CaseYear&amp;gt;2023&amp;lt;/CaseYear&amp;gt;_x000d__x000a_        &amp;lt;CaseNumber&amp;gt;31588&amp;lt;/CaseNumber&amp;gt;_x000d__x000a_        &amp;lt;NumeratorGroupID&amp;gt;1&amp;lt;/NumeratorGroupID&amp;gt;_x000d__x000a_        &amp;lt;CaseName&amp;gt;גרצברג נ&amp;#39; האפוטרופוס הכללי במחוז דרום ואח&amp;#39;&amp;lt;/CaseName&amp;gt;_x000d__x000a_        &amp;lt;CourtID&amp;gt;43&amp;lt;/CourtID&amp;gt;_x000d__x000a_        &amp;lt;CaseTypeID&amp;gt;86&amp;lt;/CaseTypeID&amp;gt;_x000d__x000a_        &amp;lt;CaseInterestID&amp;gt;160&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1588-09-23&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3-09-13T15:25: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52747&amp;lt;/DecisionID&amp;gt;_x000d__x000a_        &amp;lt;DecisionNumber&amp;gt;20&amp;lt;/DecisionNumber&amp;gt;_x000d__x000a_        &amp;lt;DecisionName&amp;gt;החלטה על בקשה של נתבע 2 בקשה לקיון דיון בהיוועדות חזותית&amp;lt;/DecisionName&amp;gt;_x000d__x000a_        &amp;lt;DecisionStatusID&amp;gt;1&amp;lt;/DecisionStatusID&amp;gt;_x000d__x000a_        &amp;lt;DecisionStatusChangeDate&amp;gt;2024-10-19T11:39:06.31+03:00&amp;lt;/DecisionStatusChangeDate&amp;gt;_x000d__x000a_        &amp;lt;DecisionSignatureDate&amp;gt;2024-10-19T10:19:43.937+03:00&amp;lt;/DecisionSignatureDate&amp;gt;_x000d__x000a_        &amp;lt;DecisionSignatureUserID&amp;gt;039599873@GOV.IL&amp;lt;/DecisionSignatureUserID&amp;gt;_x000d__x000a_        &amp;lt;DecisionCreateDate&amp;gt;2024-10-19T10:24:59.1+03:00&amp;lt;/DecisionCreateDate&amp;gt;_x000d__x000a_        &amp;lt;DecisionChangeDate&amp;gt;2024-10-19T11:39:06.54+03:00&amp;lt;/DecisionChangeDate&amp;gt;_x000d__x000a_        &amp;lt;DecisionChangeUserID&amp;gt;03959987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82038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95998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599873@GOV.IL&amp;lt;/DecisionCreationUserID&amp;gt;_x000d__x000a_        &amp;lt;DecisionDisplayName&amp;gt;החלטה על בקשה של נתבע 2 בקשה לקיון דיון בהיוועדות חזותית&amp;lt;/DecisionDisplayName&amp;gt;_x000d__x000a_        &amp;lt;IsScanned&amp;gt;false&amp;lt;/IsScanned&amp;gt;_x000d__x000a_        &amp;lt;DecisionSignatureUserName&amp;gt;הילה אוחיון גליקס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5552747&amp;lt;/DecisionID&amp;gt;_x000d__x000a_        &amp;lt;CaseID&amp;gt;80601570&amp;lt;/CaseID&amp;gt;_x000d__x000a_        &amp;lt;IsOriginal&amp;gt;true&amp;lt;/IsOriginal&amp;gt;_x000d__x000a_        &amp;lt;IsDeleted&amp;gt;false&amp;lt;/IsDeleted&amp;gt;_x000d__x000a_        &amp;lt;CaseName&amp;gt;גרצברג נ&amp;#39; האפוטרופוס הכללי במחוז דרום ואח&amp;#39;&amp;lt;/CaseName&amp;gt;_x000d__x000a_        &amp;lt;CaseDisplayIdentifier&amp;gt;31588-09-23 ת&amp;quot;ע&amp;lt;/CaseDisplayIdentifier&amp;gt;_x000d__x000a_      &amp;lt;/dt_DecisionCase&amp;gt;_x000d__x000a_      &amp;lt;dt_DecisionMotion diffgr:id=&amp;quot;dt_DecisionMotion1&amp;quot; msdata:rowOrder=&amp;quot;0&amp;quot;&amp;gt;_x000d__x000a_        &amp;lt;DecisionID&amp;gt;155552747&amp;lt;/DecisionID&amp;gt;_x000d__x000a_        &amp;lt;MotionID&amp;gt;109798967&amp;lt;/MotionID&amp;gt;_x000d__x000a_        &amp;lt;IsOriginalMotion&amp;gt;true&amp;lt;/IsOriginalMotion&amp;gt;_x000d__x000a_        &amp;lt;MotionName&amp;gt;בקשה של נתבע 2 בקשה לקיון דיון בהיוועדות חזותית&amp;lt;/MotionName&amp;gt;_x000d__x000a_        &amp;lt;MotionOpenDate&amp;gt;2024-10-06T08:58:35.67+03:00&amp;lt;/MotionOpenDate&amp;gt;_x000d__x000a_        &amp;lt;CaseID&amp;gt;80601570&amp;lt;/CaseID&amp;gt;_x000d__x000a_        &amp;lt;CaseDisplayIdentifier&amp;gt;31588-09-23 ת&amp;quot;ע&amp;lt;/CaseDisplayIdentifier&amp;gt;_x000d__x000a_        &amp;lt;ProcessNumber&amp;gt;20&amp;lt;/ProcessNumber&amp;gt;_x000d__x000a_        &amp;lt;ListOfProcessIds&amp;gt;20&amp;lt;/ListOfProcessIds&amp;gt;_x000d__x000a_      &amp;lt;/dt_DecisionMotion&amp;gt;_x000d__x000a_    &amp;lt;/DecisionDS&amp;gt;_x000d__x000a_  &amp;lt;/diffgr:diffgram&amp;gt;_x000d__x000a_&amp;lt;/DecisionDS&amp;gt;"/>
    <w:docVar w:name="DecisionID" w:val="155552747"/>
    <w:docVar w:name="WordClientAssemblyName" w:val="NGCS.Decision.ClientWordBL"/>
    <w:docVar w:name="WordClientClassName" w:val="NGCS.Decision.ClientWordBL.DecisionClient"/>
  </w:docVars>
  <w:rsids>
    <w:rsidRoot w:val="00694556"/>
    <w:rsid w:val="00000062"/>
    <w:rsid w:val="0000226B"/>
    <w:rsid w:val="00005C8B"/>
    <w:rsid w:val="000229A1"/>
    <w:rsid w:val="0003781E"/>
    <w:rsid w:val="000529D2"/>
    <w:rsid w:val="000564AB"/>
    <w:rsid w:val="00064651"/>
    <w:rsid w:val="00064FBD"/>
    <w:rsid w:val="00082AB2"/>
    <w:rsid w:val="000906FE"/>
    <w:rsid w:val="00096AF7"/>
    <w:rsid w:val="000B23E8"/>
    <w:rsid w:val="000B344B"/>
    <w:rsid w:val="000B7949"/>
    <w:rsid w:val="000C3B0F"/>
    <w:rsid w:val="000C3B60"/>
    <w:rsid w:val="000E0DD2"/>
    <w:rsid w:val="000E3AF1"/>
    <w:rsid w:val="000F0BC8"/>
    <w:rsid w:val="000F0DD6"/>
    <w:rsid w:val="00103F5E"/>
    <w:rsid w:val="00107E6D"/>
    <w:rsid w:val="0011194C"/>
    <w:rsid w:val="0011424C"/>
    <w:rsid w:val="001173C6"/>
    <w:rsid w:val="001367BC"/>
    <w:rsid w:val="00144D2A"/>
    <w:rsid w:val="0014653E"/>
    <w:rsid w:val="00180519"/>
    <w:rsid w:val="00191C82"/>
    <w:rsid w:val="001B6EEE"/>
    <w:rsid w:val="001C4003"/>
    <w:rsid w:val="001D4DBF"/>
    <w:rsid w:val="001E75CA"/>
    <w:rsid w:val="002265FF"/>
    <w:rsid w:val="00234943"/>
    <w:rsid w:val="0025618D"/>
    <w:rsid w:val="00271B56"/>
    <w:rsid w:val="0028443A"/>
    <w:rsid w:val="002C344E"/>
    <w:rsid w:val="002C3F4A"/>
    <w:rsid w:val="002E75E9"/>
    <w:rsid w:val="00307A6A"/>
    <w:rsid w:val="00307C40"/>
    <w:rsid w:val="00320433"/>
    <w:rsid w:val="003230C7"/>
    <w:rsid w:val="00327E50"/>
    <w:rsid w:val="0033597A"/>
    <w:rsid w:val="00336000"/>
    <w:rsid w:val="00343D89"/>
    <w:rsid w:val="00362612"/>
    <w:rsid w:val="0036743F"/>
    <w:rsid w:val="003715DD"/>
    <w:rsid w:val="003823E0"/>
    <w:rsid w:val="00391315"/>
    <w:rsid w:val="003A094E"/>
    <w:rsid w:val="003A4521"/>
    <w:rsid w:val="003D1C8C"/>
    <w:rsid w:val="003E2271"/>
    <w:rsid w:val="0040096C"/>
    <w:rsid w:val="00414F1F"/>
    <w:rsid w:val="0043125D"/>
    <w:rsid w:val="0043502B"/>
    <w:rsid w:val="004443AC"/>
    <w:rsid w:val="00444B02"/>
    <w:rsid w:val="00451E28"/>
    <w:rsid w:val="00457DAC"/>
    <w:rsid w:val="00462C62"/>
    <w:rsid w:val="00465D36"/>
    <w:rsid w:val="004C17EE"/>
    <w:rsid w:val="004C4BDF"/>
    <w:rsid w:val="004D1187"/>
    <w:rsid w:val="004D3AA0"/>
    <w:rsid w:val="004E1987"/>
    <w:rsid w:val="004E2E15"/>
    <w:rsid w:val="004E6E3C"/>
    <w:rsid w:val="00520898"/>
    <w:rsid w:val="00523621"/>
    <w:rsid w:val="00524986"/>
    <w:rsid w:val="005268F6"/>
    <w:rsid w:val="00527C25"/>
    <w:rsid w:val="00534284"/>
    <w:rsid w:val="00547DB7"/>
    <w:rsid w:val="005A3DAF"/>
    <w:rsid w:val="005A4E00"/>
    <w:rsid w:val="005F4F09"/>
    <w:rsid w:val="0061431B"/>
    <w:rsid w:val="00622BAA"/>
    <w:rsid w:val="006306CF"/>
    <w:rsid w:val="00644E9A"/>
    <w:rsid w:val="006562E2"/>
    <w:rsid w:val="00656FFD"/>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27DB"/>
    <w:rsid w:val="007A351D"/>
    <w:rsid w:val="007A5830"/>
    <w:rsid w:val="007A71D8"/>
    <w:rsid w:val="007B5206"/>
    <w:rsid w:val="007B7765"/>
    <w:rsid w:val="007C5BDD"/>
    <w:rsid w:val="007D45E3"/>
    <w:rsid w:val="007E6115"/>
    <w:rsid w:val="007F4609"/>
    <w:rsid w:val="00814468"/>
    <w:rsid w:val="008176A1"/>
    <w:rsid w:val="00820005"/>
    <w:rsid w:val="0083554C"/>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A5F77"/>
    <w:rsid w:val="009D1A48"/>
    <w:rsid w:val="009E1CE7"/>
    <w:rsid w:val="009E4EA5"/>
    <w:rsid w:val="009F164B"/>
    <w:rsid w:val="009F323C"/>
    <w:rsid w:val="00A0644E"/>
    <w:rsid w:val="00A13B55"/>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C55C6"/>
    <w:rsid w:val="00BD6531"/>
    <w:rsid w:val="00BE05B2"/>
    <w:rsid w:val="00BE41C4"/>
    <w:rsid w:val="00BF1908"/>
    <w:rsid w:val="00C22D93"/>
    <w:rsid w:val="00C23458"/>
    <w:rsid w:val="00C31120"/>
    <w:rsid w:val="00C33143"/>
    <w:rsid w:val="00C34482"/>
    <w:rsid w:val="00C40E8E"/>
    <w:rsid w:val="00C43648"/>
    <w:rsid w:val="00C50A9F"/>
    <w:rsid w:val="00C642FA"/>
    <w:rsid w:val="00CB11E4"/>
    <w:rsid w:val="00CB76DC"/>
    <w:rsid w:val="00CC068A"/>
    <w:rsid w:val="00CC7622"/>
    <w:rsid w:val="00CD608F"/>
    <w:rsid w:val="00CF6BB7"/>
    <w:rsid w:val="00D04AA4"/>
    <w:rsid w:val="00D27982"/>
    <w:rsid w:val="00D33B86"/>
    <w:rsid w:val="00D44968"/>
    <w:rsid w:val="00D53924"/>
    <w:rsid w:val="00D55D0C"/>
    <w:rsid w:val="00D7196E"/>
    <w:rsid w:val="00D72E4F"/>
    <w:rsid w:val="00D96D8C"/>
    <w:rsid w:val="00DA1EE7"/>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662A2"/>
    <w:rsid w:val="00E762BC"/>
    <w:rsid w:val="00E80CBE"/>
    <w:rsid w:val="00E962E3"/>
    <w:rsid w:val="00EB6C79"/>
    <w:rsid w:val="00EC37E9"/>
    <w:rsid w:val="00EE264F"/>
    <w:rsid w:val="00F038D8"/>
    <w:rsid w:val="00F06995"/>
    <w:rsid w:val="00F13623"/>
    <w:rsid w:val="00F2075C"/>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3314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2684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A300F" w:rsidP="00BA300F">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3646F"/>
    <w:rsid w:val="004745AE"/>
    <w:rsid w:val="0048651F"/>
    <w:rsid w:val="005157ED"/>
    <w:rsid w:val="00556D67"/>
    <w:rsid w:val="006914D0"/>
    <w:rsid w:val="007077D6"/>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A300F"/>
    <w:rsid w:val="00BE6557"/>
    <w:rsid w:val="00C13714"/>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A300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יאן קרומין</FullName>
        <FirstName>יאן</FirstName>
        <LastName>קרומין</LastName>
        <PartyPropertyName/>
        <AuthenticationTypeAndNumber>מ.ר. 62956</AuthenticationTypeAndNumber>
        <RepresentatedOrRepresentativesNames>יבגני גרצברג</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260830309</CasePartyID>
        <PartyTypeID>2</PartyTypeID>
        <ActivityStatusID>1</ActivityStatusID>
        <PartyAliasID>20</PartyAliasID>
        <PartyAliasName>בא כוח תובעים</PartyAliasName>
        <LegalEntityID>71669712</LegalEntityID>
        <CaseLegalEntityID>126024755</CaseLegalEntityID>
        <AuthenticationTypeID>4</AuthenticationTypeID>
        <AuthenticationTypeName>מ.ר.</AuthenticationTypeName>
        <LegalEntityNumber>62956</LegalEntityNumber>
        <IsMainPartyType>true</IsMainPartyType>
        <CaseDisplayIdentifier>31588-09-23</CaseDisplayIdentifier>
        <CaseTypeID>86</CaseTypeID>
        <CaseTypeName>תיק עזבונות (ת"ע)</CaseTypeName>
        <CaseName>גרצברג נ' האפוטרופוס הכללי במחוז דרום ואח'</CaseName>
        <FullAddress>הגדוד העברי 10/515 אשקלון דירה 515</FullAddress>
        <EmailAddress>yan@kruminlaw.com</EmailAddress>
        <MotionID>0</MotionID>
        <CasePleaID>0</CasePleaID>
        <LinkedCaseID>0</LinkedCaseID>
        <PartyID>1</PartyID>
        <CasePartyCategoryID>2</CasePartyCategoryID>
        <LegalEntityAddressID>83989938</LegalEntityAddressID>
        <LegalEntityEmailAddressID>68068091</LegalEntityEmailAddressID>
        <PleaTypeID>4</PleaTypeID>
        <LawyerOfficeName>משרד עו"ד יאן קרומין</LawyerOfficeName>
        <LawyerOfficeID>71669713</LawyerOfficeID>
        <GroupPartyAlias/>
        <IsConverted>false</IsConverted>
        <LegalEntityNameID>75004857</LegalEntityNameID>
        <RepresentatedNamesOfAssistant/>
        <LegalEntityTypeID>4</LegalEntityTypeID>
        <IsVerdictExists>false</IsVerdictExists>
        <IsAsirAzir>false</IsAsirAzir>
        <MainAndSecSpec/>
        <IsPublicationProhibited>false</IsPublicationProhibited>
        <PublicationProhibitedFullName>יאן קרומין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נגר</FullName>
        <FirstName>יוסף</FirstName>
        <LastName>נגר</LastName>
        <PartyPropertyName/>
        <AuthenticationTypeAndNumber>מ.ר. 49825</AuthenticationTypeAndNumber>
        <RepresentatedOrRepresentativesNames>יוליה גרצברג</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260549496</CasePartyID>
        <PartyTypeID>2</PartyTypeID>
        <ActivityStatusID>1</ActivityStatusID>
        <PartyAliasID>21</PartyAliasID>
        <PartyAliasName>בא כוח נתבעים</PartyAliasName>
        <LegalEntityID>7551388</LegalEntityID>
        <CaseLegalEntityID>125936842</CaseLegalEntityID>
        <AuthenticationTypeID>4</AuthenticationTypeID>
        <AuthenticationTypeName>מ.ר.</AuthenticationTypeName>
        <LegalEntityNumber>49825</LegalEntityNumber>
        <IsMainPartyType>true</IsMainPartyType>
        <CaseDisplayIdentifier>31588-09-23</CaseDisplayIdentifier>
        <CaseTypeID>86</CaseTypeID>
        <CaseTypeName>תיק עזבונות (ת"ע)</CaseTypeName>
        <CaseName>גרצברג נ' האפוטרופוס הכללי במחוז דרום ואח'</CaseName>
        <FullAddress>שד' משה גושן 72/2 קריית מוצקין </FullAddress>
        <EmailAddress>9091091@gmail.com</EmailAddress>
        <MotionID>0</MotionID>
        <CasePleaID>0</CasePleaID>
        <LinkedCaseID>0</LinkedCaseID>
        <PartyID>2</PartyID>
        <CasePartyCategoryID>2</CasePartyCategoryID>
        <LegalEntityAddressID>78501147</LegalEntityAddressID>
        <LegalEntityEmailAddressID>68025538</LegalEntityEmailAddressID>
        <PleaTypeID>4</PleaTypeID>
        <LawyerOfficeName>משרד עו"ד יוסף נגר</LawyerOfficeName>
        <LawyerOfficeID>7551389</LawyerOfficeID>
        <GroupPartyAlias/>
        <IsConverted>false</IsConverted>
        <LegalEntityNameID>7213020</LegalEntityNameID>
        <RepresentatedNamesOfAssistant/>
        <LegalEntityTypeID>4</LegalEntityTypeID>
        <IsVerdictExists>false</IsVerdictExists>
        <IsAsirAzir>false</IsAsirAzir>
        <MainAndSecSpec/>
        <IsPublicationProhibited>false</IsPublicationProhibited>
        <PublicationProhibitedFullName>יוסף נגר</PublicationProhibitedFullName>
      </CaseParties>
      <CaseParties>
        <PartyTypeName>צד</PartyTypeName>
        <ProceedingType>בקשות</ProceedingType>
        <PleaName>בקשה של נתבע 2 בקשה לקיון דיון בהיוועדות חזותית</PleaName>
        <PartyBelonging>צד א'</PartyBelonging>
        <RoleName>מבקש 1</RoleName>
        <IsSubProceeding>TRUE</IsSubProceeding>
        <FullName>יוליה גרצברג</FullName>
        <FirstName>יוליה</FirstName>
        <LastName>גרצברג</LastName>
        <PartyPropertyName/>
        <AuthenticationTypeAndNumber>ת"ז 306161720</AuthenticationTypeAndNumber>
        <RepresentatedOrRepresentativesNames>יוסף נגר</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278304978</CasePartyID>
        <PartyTypeID>1</PartyTypeID>
        <ActivityStatusID>1</ActivityStatusID>
        <PartyAliasID>3</PartyAliasID>
        <PartyAliasName>מבקש</PartyAliasName>
        <OrdinalNumber>1</OrdinalNumber>
        <LegalEntityID>81455344</LegalEntityID>
        <CaseLegalEntityID>125936823</CaseLegalEntityID>
        <AuthenticationTypeID>1</AuthenticationTypeID>
        <AuthenticationTypeName>ת"ז</AuthenticationTypeName>
        <LegalEntityNumber>306161720</LegalEntityNumber>
        <IsMainPartyType>false</IsMainPartyType>
        <CaseDisplayIdentifier>31588-09-23</CaseDisplayIdentifier>
        <CaseTypeID>86</CaseTypeID>
        <CaseTypeName>תיק עזבונות (ת"ע)</CaseTypeName>
        <CaseName>גרצברג נ' האפוטרופוס הכללי במחוז דרום ואח'</CaseName>
        <FullAddress/>
        <MotionID>109798967</MotionID>
        <CasePleaID>0</CasePleaID>
        <FatherName>ויקטור</FatherName>
        <LinkedCaseID>0</LinkedCaseID>
        <PartyID>1</PartyID>
        <CasePartyCategoryID>4</CasePartyCategoryID>
        <PleaTypeID>60</PleaTypeID>
        <GroupPartyAlias>מבקשים</GroupPartyAlias>
        <IsConverted>false</IsConverted>
        <LegalEntityRegisteredNameID>10489756</LegalEntityRegisteredNameID>
        <LegalEntityNameID>95466650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גרצברג</PublicationProhibitedFullName>
      </CaseParties>
      <CaseParties>
        <PartyTypeName>צד</PartyTypeName>
        <ProceedingType>בקשות</ProceedingType>
        <PleaName>בקשה של נתבע 2 בקשה לקיון דיון בהיוועדות חזותית</PleaName>
        <PartyBelonging>צד ב'</PartyBelonging>
        <RoleName>משיב 1</RoleName>
        <IsSubProceeding>TRUE</IsSubProceeding>
        <FullName>יבגני גרצברג</FullName>
        <FirstName>יבגני</FirstName>
        <LastName>גרצברג</LastName>
        <PartyPropertyName/>
        <AuthenticationTypeAndNumber>ת"ז 308714013</AuthenticationTypeAndNumber>
        <RepresentatedOrRepresentativesNames>יאן קרומין</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278304979</CasePartyID>
        <PartyTypeID>1</PartyTypeID>
        <ActivityStatusID>1</ActivityStatusID>
        <PartyAliasID>4</PartyAliasID>
        <PartyAliasName>משיב</PartyAliasName>
        <OrdinalNumber>1</OrdinalNumber>
        <LegalEntityID>45208480</LegalEntityID>
        <CaseLegalEntityID>125936824</CaseLegalEntityID>
        <AuthenticationTypeID>1</AuthenticationTypeID>
        <AuthenticationTypeName>ת"ז</AuthenticationTypeName>
        <LegalEntityNumber>308714013</LegalEntityNumber>
        <IsMainPartyType>false</IsMainPartyType>
        <CaseDisplayIdentifier>31588-09-23</CaseDisplayIdentifier>
        <CaseTypeID>86</CaseTypeID>
        <CaseTypeName>תיק עזבונות (ת"ע)</CaseTypeName>
        <CaseName>גרצברג נ' האפוטרופוס הכללי במחוז דרום ואח'</CaseName>
        <FullAddress>צופית 1/1 אשקלון </FullAddress>
        <EmailAddress>genei69@walla.com</EmailAddress>
        <MotionID>109798967</MotionID>
        <CasePleaID>0</CasePleaID>
        <FatherName>חנן</FatherName>
        <LinkedCaseID>0</LinkedCaseID>
        <PartyID>2</PartyID>
        <CasePartyCategoryID>4</CasePartyCategoryID>
        <LegalEntityAddressID>88407641</LegalEntityAddressID>
        <LegalEntityEmailAddressID>67944926</LegalEntityEmailAddressID>
        <FictitiousPoliceNumber/>
        <PleaTypeID>60</PleaTypeID>
        <GroupPartyAlias>משיבים</GroupPartyAlias>
        <IsConverted>false</IsConverted>
        <LegalEntityRegisteredNameID>5023830</LegalEntityRegisteredNameID>
        <LegalEntityNameID>95466651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יבגני גרצברג</PublicationProhibitedFullName>
      </CaseParties>
    </CasePartiesSelectionDS>
    <DecisionName>החלטה</DecisionName>
    <CourtDisplayName>בית משפט לענייני משפחה באשדוד</CourtDisplayName>
    <IsCaseJudgePanel>false</IsCaseJudgePanel>
    <DecisionSignatureDate>2024-10-19T10:19:43.9354189+03:00</DecisionSignatureDate>
    <OpenCaseDate>2023-09-13T15:25:00+03:00</OpenCaseDate>
    <CaseFeeSum>0.000</CaseFeeSum>
    <ExternalCaseNumber>71710_5</ExternalCaseNumber>
    <DecisionTypeID>1</DecisionTypeID>
    <DecisionSignatureUserName>הילה אוחיון גליקסמן</DecisionSignatureUserName>
    <MotionID>109798967</MotionID>
    <DecisionSignatureDateHebrew>2024-10-19T10:19:43.9354189+03:00</DecisionSignatureDateHebrew>
    <MotionNumber>20</MotionNumber>
    <DecisionWriterID>039599873@GOV.IL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גרצברג נ' האפוטרופוס הכללי במחוז דרום ואח'</CaseName>
    <DecisionNumberInCase>27</DecisionNumberInCase>
  </dt_Decision>
  <dt_DecisionCase>
    <DecisionID>0</DecisionID>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יאן קרומין</FullName>
        <FirstName>יאן</FirstName>
        <LastName>קרומין</LastName>
        <PartyPropertyName/>
        <AuthenticationTypeAndNumber>מ.ר. 62956</AuthenticationTypeAndNumber>
        <RepresentatedOrRepresentativesNames>יבגני גרצברג</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260830309</CasePartyID>
        <PartyTypeID>2</PartyTypeID>
        <ActivityStatusID>1</ActivityStatusID>
        <PartyAliasID>20</PartyAliasID>
        <PartyAliasName>בא כוח תובעים</PartyAliasName>
        <LegalEntityID>71669712</LegalEntityID>
        <CaseLegalEntityID>126024755</CaseLegalEntityID>
        <AuthenticationTypeID>4</AuthenticationTypeID>
        <AuthenticationTypeName>מ.ר.</AuthenticationTypeName>
        <LegalEntityNumber>62956</LegalEntityNumber>
        <IsMainPartyType>true</IsMainPartyType>
        <CaseDisplayIdentifier>31588-09-23</CaseDisplayIdentifier>
        <CaseTypeID>86</CaseTypeID>
        <CaseTypeName>תיק עזבונות (ת"ע)</CaseTypeName>
        <CaseName>גרצברג נ' האפוטרופוס הכללי במחוז דרום ואח'</CaseName>
        <FullAddress>הגדוד העברי 10/515 אשקלון דירה 515</FullAddress>
        <EmailAddress>yan@kruminlaw.com</EmailAddress>
        <MotionID>0</MotionID>
        <CasePleaID>0</CasePleaID>
        <LinkedCaseID>0</LinkedCaseID>
        <PartyID>1</PartyID>
        <CasePartyCategoryID>2</CasePartyCategoryID>
        <LegalEntityAddressID>83989938</LegalEntityAddressID>
        <LegalEntityEmailAddressID>68068091</LegalEntityEmailAddressID>
        <PleaTypeID>4</PleaTypeID>
        <LawyerOfficeName>משרד עו"ד יאן קרומין</LawyerOfficeName>
        <LawyerOfficeID>71669713</LawyerOfficeID>
        <GroupPartyAlias/>
        <IsConverted>false</IsConverted>
        <LegalEntityNameID>75004857</LegalEntityNameID>
        <RepresentatedNamesOfAssistant/>
        <LegalEntityTypeID>4</LegalEntityTypeID>
        <IsVerdictExists>false</IsVerdictExists>
        <IsAsirAzir>false</IsAsirAzir>
        <MainAndSecSpec/>
        <IsPublicationProhibited>false</IsPublicationProhibited>
        <PublicationProhibitedFullName>יאן קרומין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נגר</FullName>
        <FirstName>יוסף</FirstName>
        <LastName>נגר</LastName>
        <PartyPropertyName/>
        <AuthenticationTypeAndNumber>מ.ר. 49825</AuthenticationTypeAndNumber>
        <RepresentatedOrRepresentativesNames>יוליה גרצברג</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260549496</CasePartyID>
        <PartyTypeID>2</PartyTypeID>
        <ActivityStatusID>1</ActivityStatusID>
        <PartyAliasID>21</PartyAliasID>
        <PartyAliasName>בא כוח נתבעים</PartyAliasName>
        <LegalEntityID>7551388</LegalEntityID>
        <CaseLegalEntityID>125936842</CaseLegalEntityID>
        <AuthenticationTypeID>4</AuthenticationTypeID>
        <AuthenticationTypeName>מ.ר.</AuthenticationTypeName>
        <LegalEntityNumber>49825</LegalEntityNumber>
        <IsMainPartyType>true</IsMainPartyType>
        <CaseDisplayIdentifier>31588-09-23</CaseDisplayIdentifier>
        <CaseTypeID>86</CaseTypeID>
        <CaseTypeName>תיק עזבונות (ת"ע)</CaseTypeName>
        <CaseName>גרצברג נ' האפוטרופוס הכללי במחוז דרום ואח'</CaseName>
        <FullAddress>שד' משה גושן 72/2 קריית מוצקין </FullAddress>
        <EmailAddress>9091091@gmail.com</EmailAddress>
        <MotionID>0</MotionID>
        <CasePleaID>0</CasePleaID>
        <LinkedCaseID>0</LinkedCaseID>
        <PartyID>2</PartyID>
        <CasePartyCategoryID>2</CasePartyCategoryID>
        <LegalEntityAddressID>78501147</LegalEntityAddressID>
        <LegalEntityEmailAddressID>68025538</LegalEntityEmailAddressID>
        <PleaTypeID>4</PleaTypeID>
        <LawyerOfficeName>משרד עו"ד יוסף נגר</LawyerOfficeName>
        <LawyerOfficeID>7551389</LawyerOfficeID>
        <GroupPartyAlias/>
        <IsConverted>false</IsConverted>
        <LegalEntityNameID>7213020</LegalEntityNameID>
        <RepresentatedNamesOfAssistant/>
        <LegalEntityTypeID>4</LegalEntityTypeID>
        <IsVerdictExists>false</IsVerdictExists>
        <IsAsirAzir>false</IsAsirAzir>
        <MainAndSecSpec/>
        <IsPublicationProhibited>false</IsPublicationProhibited>
        <PublicationProhibitedFullName>יוסף נגר</PublicationProhibitedFullName>
      </CaseParties>
      <CaseParties>
        <PartyTypeName>צד</PartyTypeName>
        <ProceedingType>בקשות</ProceedingType>
        <PleaName>בקשה של נתבע 2 בקשה לקיון דיון בהיוועדות חזותית</PleaName>
        <PartyBelonging>צד א'</PartyBelonging>
        <RoleName>מבקש 1</RoleName>
        <IsSubProceeding>TRUE</IsSubProceeding>
        <FullName>יוליה גרצברג</FullName>
        <FirstName>יוליה</FirstName>
        <LastName>גרצברג</LastName>
        <PartyPropertyName/>
        <AuthenticationTypeAndNumber>ת"ז 306161720</AuthenticationTypeAndNumber>
        <RepresentatedOrRepresentativesNames>יוסף נגר</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278304978</CasePartyID>
        <PartyTypeID>1</PartyTypeID>
        <ActivityStatusID>1</ActivityStatusID>
        <PartyAliasID>3</PartyAliasID>
        <PartyAliasName>מבקש</PartyAliasName>
        <OrdinalNumber>1</OrdinalNumber>
        <LegalEntityID>81455344</LegalEntityID>
        <CaseLegalEntityID>125936823</CaseLegalEntityID>
        <AuthenticationTypeID>1</AuthenticationTypeID>
        <AuthenticationTypeName>ת"ז</AuthenticationTypeName>
        <LegalEntityNumber>306161720</LegalEntityNumber>
        <IsMainPartyType>false</IsMainPartyType>
        <CaseDisplayIdentifier>31588-09-23</CaseDisplayIdentifier>
        <CaseTypeID>86</CaseTypeID>
        <CaseTypeName>תיק עזבונות (ת"ע)</CaseTypeName>
        <CaseName>גרצברג נ' האפוטרופוס הכללי במחוז דרום ואח'</CaseName>
        <FullAddress/>
        <MotionID>109798967</MotionID>
        <CasePleaID>0</CasePleaID>
        <FatherName>ויקטור</FatherName>
        <LinkedCaseID>0</LinkedCaseID>
        <PartyID>1</PartyID>
        <CasePartyCategoryID>4</CasePartyCategoryID>
        <PleaTypeID>60</PleaTypeID>
        <GroupPartyAlias>מבקשים</GroupPartyAlias>
        <IsConverted>false</IsConverted>
        <LegalEntityRegisteredNameID>10489756</LegalEntityRegisteredNameID>
        <LegalEntityNameID>95466650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גרצברג</PublicationProhibitedFullName>
      </CaseParties>
      <CaseParties>
        <PartyTypeName>צד</PartyTypeName>
        <ProceedingType>בקשות</ProceedingType>
        <PleaName>בקשה של נתבע 2 בקשה לקיון דיון בהיוועדות חזותית</PleaName>
        <PartyBelonging>צד ב'</PartyBelonging>
        <RoleName>משיב 1</RoleName>
        <IsSubProceeding>TRUE</IsSubProceeding>
        <FullName>יבגני גרצברג</FullName>
        <FirstName>יבגני</FirstName>
        <LastName>גרצברג</LastName>
        <PartyPropertyName/>
        <AuthenticationTypeAndNumber>ת"ז 308714013</AuthenticationTypeAndNumber>
        <RepresentatedOrRepresentativesNames>יאן קרומין</RepresentatedOrRepresentativesNames>
        <RepresentatedOrRepresentativesCount>1</RepresentatedOrRepresentativesCount>
        <InvitedBy/>
        <CaseID>80601570</CaseID>
        <CaseJudicialPersonPresentationDS>
          <CaseJudicalPersonActive>
            <CaseID>80601570</CaseID>
            <MotionID>109798967</MotionID>
            <JudicialPersonID>039599873@GOV.IL</JudicialPersonID>
            <JudicialPersonTypeID>1</JudicialPersonTypeID>
            <JudicialTypeID>1</JudicialTypeID>
            <IsChairman>false</IsChairman>
            <TreatmentStartDate>2024-10-06T08:58:35.733+03:00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278304979</CasePartyID>
        <PartyTypeID>1</PartyTypeID>
        <ActivityStatusID>1</ActivityStatusID>
        <PartyAliasID>4</PartyAliasID>
        <PartyAliasName>משיב</PartyAliasName>
        <OrdinalNumber>1</OrdinalNumber>
        <LegalEntityID>45208480</LegalEntityID>
        <CaseLegalEntityID>125936824</CaseLegalEntityID>
        <AuthenticationTypeID>1</AuthenticationTypeID>
        <AuthenticationTypeName>ת"ז</AuthenticationTypeName>
        <LegalEntityNumber>308714013</LegalEntityNumber>
        <IsMainPartyType>false</IsMainPartyType>
        <CaseDisplayIdentifier>31588-09-23</CaseDisplayIdentifier>
        <CaseTypeID>86</CaseTypeID>
        <CaseTypeName>תיק עזבונות (ת"ע)</CaseTypeName>
        <CaseName>גרצברג נ' האפוטרופוס הכללי במחוז דרום ואח'</CaseName>
        <FullAddress>צופית 1/1 אשקלון </FullAddress>
        <EmailAddress>genei69@walla.com</EmailAddress>
        <MotionID>109798967</MotionID>
        <CasePleaID>0</CasePleaID>
        <FatherName>חנן</FatherName>
        <LinkedCaseID>0</LinkedCaseID>
        <PartyID>2</PartyID>
        <CasePartyCategoryID>4</CasePartyCategoryID>
        <LegalEntityAddressID>88407641</LegalEntityAddressID>
        <LegalEntityEmailAddressID>67944926</LegalEntityEmailAddressID>
        <FictitiousPoliceNumber/>
        <PleaTypeID>60</PleaTypeID>
        <GroupPartyAlias>משיבים</GroupPartyAlias>
        <IsConverted>false</IsConverted>
        <LegalEntityRegisteredNameID>5023830</LegalEntityRegisteredNameID>
        <LegalEntityNameID>95466651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יבגני גרצברג</PublicationProhibitedFullName>
      </CaseParties>
    </CasePartiesSelectionDS>
    <CaseName>גרצברג נ' האפוטרופוס הכללי במחוז דרום ואח'</CaseName>
    <CaseDisplayIdentifier>31588-09-23</CaseDisplayIdentifier>
    <CaseInterestID>160</CaseInterestID>
    <CaseTypeShortName>ת"ע</CaseTypeShortName>
  </dt_DecisionCase>
  <dt_DecisionJudgePanel>
    <JudgeID>039599873@GOV.IL</JudgeID>
    <DisplayName>הילה אוחיון גליקסמן</DisplayName>
    <RoleName>שופט</RoleName>
    <UserTitleName>שופטת</UserTitleName>
  </dt_DecisionJudgePanel>
  <dt_LegalEntityDetails>
    <Fax>077-5436096</Fax>
    <Phone>077-5434096</Phone>
    <PartyID>2</PartyID>
    <PartyTypeID>2</PartyTypeID>
    <DecisionID>0</DecisionID>
    <StreetName>שד' משה גושן 72/2</StreetName>
    <ZipCode>2631113</ZipCode>
    <CityName>קריית מוצקין</CityName>
    <FullName>יוסף נגר</FullName>
    <Email>9091091@gmail.com</Email>
    <IsPublicationProhibited>false</IsPublicationProhibited>
  </dt_LegalEntityDetails>
  <dt_LegalEntityDetails>
    <Fax>08-6757558</Fax>
    <Phone>08-6766822</Phone>
    <AddressDesc>דירה 515</AddressDesc>
    <PartyID>1</PartyID>
    <PartyTypeID>2</PartyTypeID>
    <DecisionID>0</DecisionID>
    <StreetName>הגדוד העברי 10/515</StreetName>
    <CityName>אשקלון</CityName>
    <FullName>יאן קרומין</FullName>
    <Email>yan@kruminlaw.com</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1</PartyTypeID>
    <DecisionID>0</DecisionID>
    <StreetName>צופית 1/1</StreetName>
    <CityName>אשקלון</CityName>
    <FullName>יבגני גרצברג</FullName>
    <Email>genei69@walla.com</Email>
    <IsPublicationProhibited>false</IsPublicationProhibited>
  </dt_LegalEntityDetails>
  <dt_LegalEntityDetails>
    <PartyID>2</PartyID>
    <PartyTypeID>1</PartyTypeID>
    <DecisionID>0</DecisionID>
    <FullName>יוליה גרצברג</FullName>
    <IsPublicationProhibited>false</IsPublicationProhibited>
  </dt_LegalEntityDetails>
  <dt_LegalEntityDetails>
    <PartyID>2</PartyID>
    <PartyTypeID>1</PartyTypeID>
    <DecisionID>0</DecisionID>
    <FullName>סופיה גרצברג ז"ל</FullName>
    <IsPublicationProhibited>false</IsPublicationProhibited>
  </dt_LegalEntityDetails>
  <dt_CaseJudicalPersonActive>
    <CaseJudicalPerson>שופטת הילה אוחיון גליקסמן</CaseJudicalPerson>
  </dt_CaseJudicalPersonActive>
  <dt_Sitting>
    <FutureSittingDate>2024-11-07T12:30:00+02:00</FutureSittingDate>
    <PreviousMeetingDate>2024-04-02T12:25:00+03:00</PreviousMeetingDate>
    <NextSittingTypeID>1</NextSittingTypeID>
    <PreviousSittingTypeID>1</PreviousSittingTypeID>
    <NextMeetingDisplayName>שופטת הילה אוחיון גליקסמן</NextMeetingDisplayName>
    <NextMeetingRoleName>שופט</NextMeetingRoleName>
    <NextMeetingUserTitleName>שופטת</NextMeetingUserTitleName>
    <NextMeetingUserUPN>039599873@GOV.IL</NextMeetingUserUPN>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57DA1-ABD4-46F4-908D-0DE124B0016B}">
  <ds:schemaRefs/>
</ds:datastoreItem>
</file>

<file path=customXml/itemProps2.xml><?xml version="1.0" encoding="utf-8"?>
<ds:datastoreItem xmlns:ds="http://schemas.openxmlformats.org/officeDocument/2006/customXml" ds:itemID="{26A3A9BE-B7DC-4506-AD4C-278849AE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1855</Words>
  <Characters>9277</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2024-11-03T07:34:00Z</dcterms:created>
  <dcterms:modified xsi:type="dcterms:W3CDTF">2024-11-03T07:34:00Z</dcterms:modified>
</cp:coreProperties>
</file>